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C15" w:rsidRDefault="00E74C15" w:rsidP="00E74C15">
      <w:pPr>
        <w:rPr>
          <w:rFonts w:asciiTheme="majorHAnsi" w:hAnsiTheme="majorHAnsi" w:cs="Arial"/>
          <w:b/>
          <w:bCs/>
          <w:color w:val="000090"/>
          <w:sz w:val="32"/>
          <w:szCs w:val="32"/>
        </w:rPr>
      </w:pPr>
      <w:r>
        <w:rPr>
          <w:rFonts w:asciiTheme="majorHAnsi" w:hAnsiTheme="majorHAnsi" w:cs="Arial"/>
          <w:b/>
          <w:bCs/>
          <w:color w:val="000090"/>
          <w:sz w:val="32"/>
          <w:szCs w:val="32"/>
        </w:rPr>
        <w:t>GOVANHILL HOUSING ASSOCIATION</w:t>
      </w:r>
    </w:p>
    <w:p w:rsidR="00E74C15" w:rsidRDefault="00E74C15" w:rsidP="00E74C15">
      <w:pPr>
        <w:rPr>
          <w:rFonts w:asciiTheme="majorHAnsi" w:hAnsiTheme="majorHAnsi" w:cs="Arial"/>
          <w:b/>
          <w:bCs/>
          <w:color w:val="000090"/>
          <w:sz w:val="32"/>
          <w:szCs w:val="32"/>
        </w:rPr>
      </w:pPr>
      <w:r>
        <w:rPr>
          <w:rFonts w:asciiTheme="majorHAnsi" w:hAnsiTheme="majorHAnsi" w:cs="Arial"/>
          <w:b/>
          <w:bCs/>
          <w:color w:val="000090"/>
          <w:sz w:val="32"/>
          <w:szCs w:val="32"/>
        </w:rPr>
        <w:t>BUSINESS PLAN 2019-2022</w:t>
      </w:r>
    </w:p>
    <w:p w:rsidR="00E74C15" w:rsidRPr="00D66385" w:rsidRDefault="00E74C15" w:rsidP="00E74C15">
      <w:pPr>
        <w:rPr>
          <w:rFonts w:asciiTheme="majorHAnsi" w:hAnsiTheme="majorHAnsi" w:cs="Arial"/>
          <w:b/>
          <w:bCs/>
          <w:i/>
          <w:iCs/>
          <w:sz w:val="32"/>
          <w:szCs w:val="32"/>
        </w:rPr>
      </w:pPr>
      <w:r w:rsidRPr="00D66385">
        <w:rPr>
          <w:rFonts w:asciiTheme="majorHAnsi" w:hAnsiTheme="majorHAnsi" w:cs="Arial"/>
          <w:b/>
          <w:bCs/>
          <w:color w:val="000090"/>
          <w:sz w:val="32"/>
          <w:szCs w:val="32"/>
        </w:rPr>
        <w:t>EXECUTIVE SUMMARY</w:t>
      </w:r>
      <w:r w:rsidRPr="00D66385">
        <w:rPr>
          <w:rFonts w:asciiTheme="majorHAnsi" w:hAnsiTheme="majorHAnsi" w:cs="Arial"/>
          <w:b/>
          <w:bCs/>
          <w:sz w:val="32"/>
          <w:szCs w:val="32"/>
        </w:rPr>
        <w:t xml:space="preserve"> </w:t>
      </w:r>
    </w:p>
    <w:p w:rsidR="00E74C15" w:rsidRDefault="00E74C15" w:rsidP="00E74C15">
      <w:pPr>
        <w:widowControl w:val="0"/>
        <w:overflowPunct w:val="0"/>
        <w:autoSpaceDE w:val="0"/>
        <w:autoSpaceDN w:val="0"/>
        <w:adjustRightInd w:val="0"/>
        <w:spacing w:line="276" w:lineRule="auto"/>
        <w:contextualSpacing/>
        <w:textAlignment w:val="baseline"/>
        <w:rPr>
          <w:rFonts w:asciiTheme="majorHAnsi" w:hAnsiTheme="majorHAnsi" w:cs="Arial"/>
          <w:sz w:val="16"/>
          <w:szCs w:val="16"/>
        </w:rPr>
      </w:pPr>
    </w:p>
    <w:p w:rsidR="00E74C15" w:rsidRPr="008E1A01" w:rsidRDefault="00E74C15" w:rsidP="00E74C15">
      <w:pPr>
        <w:widowControl w:val="0"/>
        <w:overflowPunct w:val="0"/>
        <w:autoSpaceDE w:val="0"/>
        <w:autoSpaceDN w:val="0"/>
        <w:adjustRightInd w:val="0"/>
        <w:spacing w:line="276" w:lineRule="auto"/>
        <w:contextualSpacing/>
        <w:textAlignment w:val="baseline"/>
        <w:rPr>
          <w:rFonts w:asciiTheme="majorHAnsi" w:hAnsiTheme="majorHAnsi" w:cs="Arial"/>
          <w:sz w:val="16"/>
          <w:szCs w:val="16"/>
        </w:rPr>
      </w:pPr>
    </w:p>
    <w:p w:rsidR="00E74C15" w:rsidRDefault="00E74C15" w:rsidP="00E74C15">
      <w:pPr>
        <w:tabs>
          <w:tab w:val="left" w:pos="567"/>
        </w:tabs>
        <w:spacing w:after="120"/>
        <w:rPr>
          <w:rFonts w:asciiTheme="majorHAnsi" w:hAnsiTheme="majorHAnsi" w:cs="Arial"/>
          <w:b/>
          <w:color w:val="000090"/>
          <w:sz w:val="28"/>
          <w:szCs w:val="28"/>
        </w:rPr>
      </w:pPr>
      <w:r w:rsidRPr="008E1A01">
        <w:rPr>
          <w:rFonts w:asciiTheme="majorHAnsi" w:hAnsiTheme="majorHAnsi" w:cs="Arial"/>
          <w:b/>
          <w:color w:val="000090"/>
          <w:sz w:val="28"/>
          <w:szCs w:val="28"/>
        </w:rPr>
        <w:t>Introduction</w:t>
      </w:r>
    </w:p>
    <w:p w:rsidR="00E74C15" w:rsidRPr="008E1A01" w:rsidRDefault="00E74C15" w:rsidP="00E74C15">
      <w:pPr>
        <w:tabs>
          <w:tab w:val="left" w:pos="567"/>
        </w:tabs>
        <w:spacing w:after="120"/>
        <w:rPr>
          <w:rFonts w:asciiTheme="majorHAnsi" w:hAnsiTheme="majorHAnsi" w:cs="Arial"/>
          <w:b/>
          <w:color w:val="000090"/>
          <w:sz w:val="28"/>
          <w:szCs w:val="28"/>
        </w:rPr>
      </w:pPr>
    </w:p>
    <w:p w:rsidR="00E74C15" w:rsidRPr="008E1A01" w:rsidRDefault="00E74C15" w:rsidP="00E74C15">
      <w:pPr>
        <w:tabs>
          <w:tab w:val="left" w:pos="567"/>
        </w:tabs>
        <w:spacing w:line="276" w:lineRule="auto"/>
        <w:rPr>
          <w:rFonts w:asciiTheme="majorHAnsi" w:hAnsiTheme="majorHAnsi" w:cs="Arial"/>
          <w:sz w:val="22"/>
          <w:szCs w:val="22"/>
        </w:rPr>
      </w:pPr>
      <w:r w:rsidRPr="008E1A01">
        <w:rPr>
          <w:rFonts w:asciiTheme="majorHAnsi" w:hAnsiTheme="majorHAnsi" w:cs="Arial"/>
          <w:sz w:val="22"/>
          <w:szCs w:val="22"/>
        </w:rPr>
        <w:t>This document is the Business Plan of Govanhill Housing Association (</w:t>
      </w:r>
      <w:proofErr w:type="spellStart"/>
      <w:r w:rsidRPr="008E1A01">
        <w:rPr>
          <w:rFonts w:asciiTheme="majorHAnsi" w:hAnsiTheme="majorHAnsi" w:cs="Arial"/>
          <w:sz w:val="22"/>
          <w:szCs w:val="22"/>
        </w:rPr>
        <w:t>GhHA</w:t>
      </w:r>
      <w:proofErr w:type="spellEnd"/>
      <w:r w:rsidRPr="008E1A01">
        <w:rPr>
          <w:rFonts w:asciiTheme="majorHAnsi" w:hAnsiTheme="majorHAnsi" w:cs="Arial"/>
          <w:sz w:val="22"/>
          <w:szCs w:val="22"/>
        </w:rPr>
        <w:t xml:space="preserve">).  In it we set out </w:t>
      </w:r>
      <w:proofErr w:type="spellStart"/>
      <w:r w:rsidRPr="008E1A01">
        <w:rPr>
          <w:rFonts w:asciiTheme="majorHAnsi" w:hAnsiTheme="majorHAnsi" w:cs="Arial"/>
          <w:sz w:val="22"/>
          <w:szCs w:val="22"/>
        </w:rPr>
        <w:t>GhHA’s</w:t>
      </w:r>
      <w:proofErr w:type="spellEnd"/>
      <w:r w:rsidRPr="008E1A01">
        <w:rPr>
          <w:rFonts w:asciiTheme="majorHAnsi" w:hAnsiTheme="majorHAnsi" w:cs="Arial"/>
          <w:sz w:val="22"/>
          <w:szCs w:val="22"/>
        </w:rPr>
        <w:t xml:space="preserve"> objectives </w:t>
      </w:r>
      <w:r>
        <w:rPr>
          <w:rFonts w:asciiTheme="majorHAnsi" w:hAnsiTheme="majorHAnsi" w:cs="Arial"/>
          <w:sz w:val="22"/>
          <w:szCs w:val="22"/>
        </w:rPr>
        <w:t>and priorities f</w:t>
      </w:r>
      <w:r w:rsidRPr="008E1A01">
        <w:rPr>
          <w:rFonts w:asciiTheme="majorHAnsi" w:hAnsiTheme="majorHAnsi" w:cs="Arial"/>
          <w:sz w:val="22"/>
          <w:szCs w:val="22"/>
        </w:rPr>
        <w:t xml:space="preserve">or the future, </w:t>
      </w:r>
      <w:r>
        <w:rPr>
          <w:rFonts w:asciiTheme="majorHAnsi" w:hAnsiTheme="majorHAnsi" w:cs="Arial"/>
          <w:sz w:val="22"/>
          <w:szCs w:val="22"/>
        </w:rPr>
        <w:t xml:space="preserve">what we will do to achieve these, and the resources </w:t>
      </w:r>
      <w:r w:rsidRPr="008E1A01">
        <w:rPr>
          <w:rFonts w:asciiTheme="majorHAnsi" w:hAnsiTheme="majorHAnsi" w:cs="Arial"/>
          <w:sz w:val="22"/>
          <w:szCs w:val="22"/>
        </w:rPr>
        <w:t xml:space="preserve">we will deploy to bring our plans to fruition.  </w:t>
      </w:r>
    </w:p>
    <w:p w:rsidR="00E74C15" w:rsidRDefault="00E74C15" w:rsidP="00E74C15">
      <w:pPr>
        <w:tabs>
          <w:tab w:val="left" w:pos="567"/>
        </w:tabs>
        <w:spacing w:line="276" w:lineRule="auto"/>
        <w:rPr>
          <w:rFonts w:asciiTheme="majorHAnsi" w:hAnsiTheme="majorHAnsi" w:cs="Arial"/>
          <w:sz w:val="22"/>
          <w:szCs w:val="22"/>
        </w:rPr>
      </w:pPr>
    </w:p>
    <w:p w:rsidR="00E74C15" w:rsidRPr="008E1A01" w:rsidRDefault="00E74C15" w:rsidP="00E74C15">
      <w:pPr>
        <w:tabs>
          <w:tab w:val="left" w:pos="567"/>
        </w:tabs>
        <w:spacing w:line="276" w:lineRule="auto"/>
        <w:rPr>
          <w:rFonts w:asciiTheme="majorHAnsi" w:hAnsiTheme="majorHAnsi" w:cs="Arial"/>
          <w:sz w:val="22"/>
          <w:szCs w:val="22"/>
        </w:rPr>
      </w:pPr>
    </w:p>
    <w:p w:rsidR="00E74C15" w:rsidRDefault="00E74C15" w:rsidP="00E74C15">
      <w:pPr>
        <w:tabs>
          <w:tab w:val="left" w:pos="567"/>
        </w:tabs>
        <w:spacing w:after="120"/>
        <w:rPr>
          <w:rFonts w:asciiTheme="majorHAnsi" w:hAnsiTheme="majorHAnsi" w:cs="Arial"/>
          <w:b/>
          <w:bCs/>
          <w:color w:val="000090"/>
          <w:sz w:val="28"/>
          <w:szCs w:val="28"/>
        </w:rPr>
      </w:pPr>
      <w:r w:rsidRPr="008E1A01">
        <w:rPr>
          <w:rFonts w:asciiTheme="majorHAnsi" w:hAnsiTheme="majorHAnsi" w:cs="Arial"/>
          <w:b/>
          <w:bCs/>
          <w:color w:val="000090"/>
          <w:sz w:val="28"/>
          <w:szCs w:val="28"/>
        </w:rPr>
        <w:t>The Association</w:t>
      </w:r>
      <w:r>
        <w:rPr>
          <w:rFonts w:asciiTheme="majorHAnsi" w:hAnsiTheme="majorHAnsi" w:cs="Arial"/>
          <w:b/>
          <w:bCs/>
          <w:color w:val="000090"/>
          <w:sz w:val="28"/>
          <w:szCs w:val="28"/>
        </w:rPr>
        <w:t xml:space="preserve"> and What We Do</w:t>
      </w:r>
    </w:p>
    <w:p w:rsidR="00E74C15" w:rsidRPr="008E1A01" w:rsidRDefault="00E74C15" w:rsidP="00E74C15">
      <w:pPr>
        <w:tabs>
          <w:tab w:val="left" w:pos="567"/>
        </w:tabs>
        <w:spacing w:after="120"/>
        <w:rPr>
          <w:rFonts w:asciiTheme="majorHAnsi" w:hAnsiTheme="majorHAnsi" w:cs="Arial"/>
          <w:b/>
          <w:sz w:val="28"/>
          <w:szCs w:val="28"/>
        </w:rPr>
      </w:pPr>
    </w:p>
    <w:p w:rsidR="00E74C15" w:rsidRPr="00E74C15" w:rsidRDefault="00E74C15" w:rsidP="00E74C15">
      <w:pPr>
        <w:spacing w:line="276" w:lineRule="auto"/>
        <w:rPr>
          <w:rFonts w:asciiTheme="majorHAnsi" w:hAnsiTheme="majorHAnsi" w:cs="Arial"/>
          <w:bCs/>
          <w:sz w:val="22"/>
          <w:szCs w:val="22"/>
        </w:rPr>
      </w:pPr>
      <w:proofErr w:type="spellStart"/>
      <w:r w:rsidRPr="008E1A01">
        <w:rPr>
          <w:rFonts w:asciiTheme="majorHAnsi" w:hAnsiTheme="majorHAnsi" w:cs="Arial"/>
          <w:bCs/>
          <w:sz w:val="22"/>
          <w:szCs w:val="22"/>
        </w:rPr>
        <w:t>GhHA</w:t>
      </w:r>
      <w:proofErr w:type="spellEnd"/>
      <w:r w:rsidRPr="008E1A01">
        <w:rPr>
          <w:rFonts w:asciiTheme="majorHAnsi" w:hAnsiTheme="majorHAnsi" w:cs="Arial"/>
          <w:bCs/>
          <w:sz w:val="22"/>
          <w:szCs w:val="22"/>
        </w:rPr>
        <w:t xml:space="preserve"> is a reg</w:t>
      </w:r>
      <w:r>
        <w:rPr>
          <w:rFonts w:asciiTheme="majorHAnsi" w:hAnsiTheme="majorHAnsi" w:cs="Arial"/>
          <w:bCs/>
          <w:sz w:val="22"/>
          <w:szCs w:val="22"/>
        </w:rPr>
        <w:t>istered</w:t>
      </w:r>
      <w:r w:rsidRPr="008E1A01">
        <w:rPr>
          <w:rFonts w:asciiTheme="majorHAnsi" w:hAnsiTheme="majorHAnsi" w:cs="Arial"/>
          <w:bCs/>
          <w:sz w:val="22"/>
          <w:szCs w:val="22"/>
        </w:rPr>
        <w:t xml:space="preserve"> social landlord and a Scottish charity.  </w:t>
      </w:r>
      <w:r>
        <w:rPr>
          <w:rFonts w:asciiTheme="majorHAnsi" w:hAnsiTheme="majorHAnsi" w:cs="Arial"/>
          <w:bCs/>
          <w:sz w:val="22"/>
          <w:szCs w:val="22"/>
        </w:rPr>
        <w:t>As a community-controlled housing association, we are l</w:t>
      </w:r>
      <w:r w:rsidRPr="008E1A01">
        <w:rPr>
          <w:rFonts w:asciiTheme="majorHAnsi" w:hAnsiTheme="majorHAnsi" w:cs="Arial"/>
          <w:bCs/>
          <w:sz w:val="22"/>
          <w:szCs w:val="22"/>
        </w:rPr>
        <w:t xml:space="preserve">ed by a Management Committee made up of </w:t>
      </w:r>
      <w:proofErr w:type="gramStart"/>
      <w:r w:rsidRPr="008E1A01">
        <w:rPr>
          <w:rFonts w:asciiTheme="majorHAnsi" w:hAnsiTheme="majorHAnsi" w:cs="Arial"/>
          <w:bCs/>
          <w:sz w:val="22"/>
          <w:szCs w:val="22"/>
        </w:rPr>
        <w:t>local residents</w:t>
      </w:r>
      <w:proofErr w:type="gramEnd"/>
      <w:r w:rsidRPr="008E1A01">
        <w:rPr>
          <w:rFonts w:asciiTheme="majorHAnsi" w:hAnsiTheme="majorHAnsi" w:cs="Arial"/>
          <w:bCs/>
          <w:sz w:val="22"/>
          <w:szCs w:val="22"/>
        </w:rPr>
        <w:t>, all of them volunteers</w:t>
      </w:r>
      <w:r>
        <w:rPr>
          <w:rFonts w:asciiTheme="majorHAnsi" w:hAnsiTheme="majorHAnsi" w:cs="Arial"/>
          <w:bCs/>
          <w:sz w:val="22"/>
          <w:szCs w:val="22"/>
        </w:rPr>
        <w:t>.</w:t>
      </w:r>
      <w:r w:rsidRPr="008E1A01">
        <w:rPr>
          <w:rFonts w:asciiTheme="majorHAnsi" w:hAnsiTheme="majorHAnsi" w:cs="Arial"/>
          <w:bCs/>
          <w:sz w:val="22"/>
          <w:szCs w:val="22"/>
        </w:rPr>
        <w:t xml:space="preserve">  </w:t>
      </w:r>
      <w:proofErr w:type="spellStart"/>
      <w:r w:rsidRPr="008E1A01">
        <w:rPr>
          <w:rFonts w:asciiTheme="majorHAnsi" w:hAnsiTheme="majorHAnsi" w:cs="Arial"/>
          <w:sz w:val="22"/>
          <w:szCs w:val="22"/>
        </w:rPr>
        <w:t>GhHA</w:t>
      </w:r>
      <w:proofErr w:type="spellEnd"/>
      <w:r w:rsidRPr="008E1A01">
        <w:rPr>
          <w:rFonts w:asciiTheme="majorHAnsi" w:hAnsiTheme="majorHAnsi" w:cs="Arial"/>
          <w:sz w:val="22"/>
          <w:szCs w:val="22"/>
        </w:rPr>
        <w:t xml:space="preserve"> was formed in 1974</w:t>
      </w:r>
      <w:r>
        <w:rPr>
          <w:rFonts w:asciiTheme="majorHAnsi" w:hAnsiTheme="majorHAnsi" w:cs="Arial"/>
          <w:sz w:val="22"/>
          <w:szCs w:val="22"/>
        </w:rPr>
        <w:t xml:space="preserve">.  We now own and manage </w:t>
      </w:r>
      <w:r w:rsidRPr="008E1A01">
        <w:rPr>
          <w:rFonts w:asciiTheme="majorHAnsi" w:hAnsiTheme="majorHAnsi" w:cs="Arial"/>
          <w:sz w:val="22"/>
          <w:szCs w:val="22"/>
        </w:rPr>
        <w:t>around 2,700 homes for affo</w:t>
      </w:r>
      <w:r>
        <w:rPr>
          <w:rFonts w:asciiTheme="majorHAnsi" w:hAnsiTheme="majorHAnsi" w:cs="Arial"/>
          <w:sz w:val="22"/>
          <w:szCs w:val="22"/>
        </w:rPr>
        <w:t>rdable social rent and factor</w:t>
      </w:r>
      <w:r w:rsidRPr="008E1A01">
        <w:rPr>
          <w:rFonts w:asciiTheme="majorHAnsi" w:hAnsiTheme="majorHAnsi" w:cs="Arial"/>
          <w:sz w:val="22"/>
          <w:szCs w:val="22"/>
        </w:rPr>
        <w:t xml:space="preserve"> over 1,400 privately owned residential and commercial properties.  </w:t>
      </w:r>
    </w:p>
    <w:p w:rsidR="00E74C15" w:rsidRDefault="00E74C15" w:rsidP="00E74C15">
      <w:pPr>
        <w:spacing w:line="276" w:lineRule="auto"/>
        <w:rPr>
          <w:rFonts w:asciiTheme="majorHAnsi" w:hAnsiTheme="majorHAnsi" w:cs="Arial"/>
          <w:sz w:val="22"/>
          <w:szCs w:val="22"/>
        </w:rPr>
      </w:pPr>
    </w:p>
    <w:p w:rsidR="00E74C15" w:rsidRPr="008E1A01" w:rsidRDefault="00E74C15" w:rsidP="00E74C15">
      <w:pPr>
        <w:spacing w:line="276" w:lineRule="auto"/>
        <w:rPr>
          <w:rFonts w:asciiTheme="majorHAnsi" w:hAnsiTheme="majorHAnsi" w:cs="Arial"/>
          <w:i/>
          <w:iCs/>
          <w:sz w:val="22"/>
          <w:szCs w:val="22"/>
          <w:highlight w:val="yellow"/>
        </w:rPr>
      </w:pPr>
      <w:r>
        <w:rPr>
          <w:rFonts w:asciiTheme="majorHAnsi" w:hAnsiTheme="majorHAnsi" w:cs="Arial"/>
          <w:sz w:val="22"/>
          <w:szCs w:val="22"/>
        </w:rPr>
        <w:t>Our strengths include:</w:t>
      </w:r>
    </w:p>
    <w:p w:rsidR="00E74C15" w:rsidRDefault="00E74C15" w:rsidP="00E74C15">
      <w:pPr>
        <w:spacing w:line="276" w:lineRule="auto"/>
        <w:rPr>
          <w:rFonts w:asciiTheme="majorHAnsi" w:hAnsiTheme="majorHAnsi" w:cs="Arial"/>
          <w:bCs/>
          <w:sz w:val="22"/>
          <w:szCs w:val="22"/>
        </w:rPr>
      </w:pPr>
    </w:p>
    <w:p w:rsidR="00E74C15" w:rsidRDefault="00E74C15" w:rsidP="00E74C15">
      <w:pPr>
        <w:pStyle w:val="ListParagraph"/>
        <w:numPr>
          <w:ilvl w:val="0"/>
          <w:numId w:val="7"/>
        </w:numPr>
        <w:spacing w:after="120" w:line="276" w:lineRule="auto"/>
        <w:ind w:left="357" w:hanging="357"/>
        <w:contextualSpacing w:val="0"/>
        <w:rPr>
          <w:rFonts w:asciiTheme="majorHAnsi" w:hAnsiTheme="majorHAnsi" w:cs="Arial"/>
          <w:bCs/>
          <w:sz w:val="22"/>
          <w:szCs w:val="22"/>
        </w:rPr>
      </w:pPr>
      <w:r>
        <w:rPr>
          <w:rFonts w:asciiTheme="majorHAnsi" w:hAnsiTheme="majorHAnsi" w:cs="Arial"/>
          <w:bCs/>
          <w:sz w:val="22"/>
          <w:szCs w:val="22"/>
        </w:rPr>
        <w:t>A</w:t>
      </w:r>
      <w:r w:rsidRPr="008453F7">
        <w:rPr>
          <w:rFonts w:asciiTheme="majorHAnsi" w:hAnsiTheme="majorHAnsi" w:cs="Arial"/>
          <w:bCs/>
          <w:sz w:val="22"/>
          <w:szCs w:val="22"/>
        </w:rPr>
        <w:t xml:space="preserve"> </w:t>
      </w:r>
      <w:r>
        <w:rPr>
          <w:rFonts w:asciiTheme="majorHAnsi" w:hAnsiTheme="majorHAnsi" w:cs="Arial"/>
          <w:bCs/>
          <w:sz w:val="22"/>
          <w:szCs w:val="22"/>
        </w:rPr>
        <w:t xml:space="preserve">committed and </w:t>
      </w:r>
      <w:r w:rsidRPr="008453F7">
        <w:rPr>
          <w:rFonts w:asciiTheme="majorHAnsi" w:hAnsiTheme="majorHAnsi" w:cs="Arial"/>
          <w:bCs/>
          <w:sz w:val="22"/>
          <w:szCs w:val="22"/>
        </w:rPr>
        <w:t>experienced Management Committee and staff team</w:t>
      </w:r>
      <w:r>
        <w:rPr>
          <w:rFonts w:asciiTheme="majorHAnsi" w:hAnsiTheme="majorHAnsi" w:cs="Arial"/>
          <w:bCs/>
          <w:sz w:val="22"/>
          <w:szCs w:val="22"/>
        </w:rPr>
        <w:t>.</w:t>
      </w:r>
    </w:p>
    <w:p w:rsidR="00E74C15" w:rsidRPr="008453F7" w:rsidRDefault="00E74C15" w:rsidP="00E74C15">
      <w:pPr>
        <w:pStyle w:val="ListParagraph"/>
        <w:numPr>
          <w:ilvl w:val="0"/>
          <w:numId w:val="6"/>
        </w:numPr>
        <w:spacing w:after="120" w:line="276" w:lineRule="auto"/>
        <w:ind w:left="357" w:hanging="357"/>
        <w:contextualSpacing w:val="0"/>
        <w:rPr>
          <w:rFonts w:asciiTheme="majorHAnsi" w:hAnsiTheme="majorHAnsi" w:cs="Arial"/>
          <w:bCs/>
          <w:sz w:val="22"/>
          <w:szCs w:val="22"/>
        </w:rPr>
      </w:pPr>
      <w:r>
        <w:rPr>
          <w:rFonts w:asciiTheme="majorHAnsi" w:hAnsiTheme="majorHAnsi" w:cs="Arial"/>
          <w:bCs/>
          <w:sz w:val="22"/>
          <w:szCs w:val="22"/>
        </w:rPr>
        <w:t xml:space="preserve">Positive partnerships with tenants, </w:t>
      </w:r>
      <w:r w:rsidRPr="008453F7">
        <w:rPr>
          <w:rFonts w:asciiTheme="majorHAnsi" w:hAnsiTheme="majorHAnsi" w:cs="Arial"/>
          <w:bCs/>
          <w:sz w:val="22"/>
          <w:szCs w:val="22"/>
        </w:rPr>
        <w:t>community groups, Glasgow City Council and other public bodies</w:t>
      </w:r>
      <w:r>
        <w:rPr>
          <w:rFonts w:asciiTheme="majorHAnsi" w:hAnsiTheme="majorHAnsi" w:cs="Arial"/>
          <w:bCs/>
          <w:sz w:val="22"/>
          <w:szCs w:val="22"/>
        </w:rPr>
        <w:t>.</w:t>
      </w:r>
    </w:p>
    <w:p w:rsidR="00E74C15" w:rsidRPr="008453F7" w:rsidRDefault="00E74C15" w:rsidP="00E74C15">
      <w:pPr>
        <w:pStyle w:val="ListParagraph"/>
        <w:numPr>
          <w:ilvl w:val="0"/>
          <w:numId w:val="6"/>
        </w:numPr>
        <w:spacing w:after="120" w:line="276" w:lineRule="auto"/>
        <w:ind w:left="357" w:hanging="357"/>
        <w:contextualSpacing w:val="0"/>
        <w:rPr>
          <w:rFonts w:asciiTheme="majorHAnsi" w:hAnsiTheme="majorHAnsi" w:cs="Arial"/>
          <w:bCs/>
          <w:sz w:val="22"/>
          <w:szCs w:val="22"/>
        </w:rPr>
      </w:pPr>
      <w:r>
        <w:rPr>
          <w:rFonts w:asciiTheme="majorHAnsi" w:hAnsiTheme="majorHAnsi" w:cs="Arial"/>
          <w:bCs/>
          <w:sz w:val="22"/>
          <w:szCs w:val="22"/>
        </w:rPr>
        <w:t>Good, and improving, results for s</w:t>
      </w:r>
      <w:r w:rsidRPr="008453F7">
        <w:rPr>
          <w:rFonts w:asciiTheme="majorHAnsi" w:hAnsiTheme="majorHAnsi" w:cs="Arial"/>
          <w:bCs/>
          <w:sz w:val="22"/>
          <w:szCs w:val="22"/>
        </w:rPr>
        <w:t xml:space="preserve">ervice delivery </w:t>
      </w:r>
      <w:r>
        <w:rPr>
          <w:rFonts w:asciiTheme="majorHAnsi" w:hAnsiTheme="majorHAnsi" w:cs="Arial"/>
          <w:bCs/>
          <w:sz w:val="22"/>
          <w:szCs w:val="22"/>
        </w:rPr>
        <w:t xml:space="preserve">and for </w:t>
      </w:r>
      <w:r w:rsidRPr="008453F7">
        <w:rPr>
          <w:rFonts w:asciiTheme="majorHAnsi" w:hAnsiTheme="majorHAnsi" w:cs="Arial"/>
          <w:bCs/>
          <w:sz w:val="22"/>
          <w:szCs w:val="22"/>
        </w:rPr>
        <w:t>tenant satisfaction with our services</w:t>
      </w:r>
      <w:r>
        <w:rPr>
          <w:rFonts w:asciiTheme="majorHAnsi" w:hAnsiTheme="majorHAnsi" w:cs="Arial"/>
          <w:bCs/>
          <w:sz w:val="22"/>
          <w:szCs w:val="22"/>
        </w:rPr>
        <w:t>.</w:t>
      </w:r>
    </w:p>
    <w:p w:rsidR="00E74C15" w:rsidRPr="00A030C1" w:rsidRDefault="00E74C15" w:rsidP="00E74C15">
      <w:pPr>
        <w:pStyle w:val="ListParagraph"/>
        <w:numPr>
          <w:ilvl w:val="0"/>
          <w:numId w:val="6"/>
        </w:numPr>
        <w:spacing w:after="120" w:line="276" w:lineRule="auto"/>
        <w:ind w:left="357" w:hanging="357"/>
        <w:contextualSpacing w:val="0"/>
        <w:rPr>
          <w:rFonts w:asciiTheme="majorHAnsi" w:hAnsiTheme="majorHAnsi" w:cs="Arial"/>
          <w:bCs/>
          <w:sz w:val="22"/>
          <w:szCs w:val="22"/>
        </w:rPr>
      </w:pPr>
      <w:r>
        <w:rPr>
          <w:rFonts w:asciiTheme="majorHAnsi" w:hAnsiTheme="majorHAnsi" w:cs="Arial"/>
          <w:bCs/>
          <w:sz w:val="22"/>
          <w:szCs w:val="22"/>
        </w:rPr>
        <w:t>A strong track record in investing in tenants’ homes, and in maximising tenants’ incomes.</w:t>
      </w:r>
      <w:r w:rsidRPr="00A030C1">
        <w:rPr>
          <w:rFonts w:asciiTheme="majorHAnsi" w:hAnsiTheme="majorHAnsi" w:cs="Arial"/>
          <w:bCs/>
          <w:sz w:val="22"/>
          <w:szCs w:val="22"/>
        </w:rPr>
        <w:t xml:space="preserve"> We have delivered £4</w:t>
      </w:r>
      <w:r>
        <w:rPr>
          <w:rFonts w:asciiTheme="majorHAnsi" w:hAnsiTheme="majorHAnsi" w:cs="Arial"/>
          <w:bCs/>
          <w:sz w:val="22"/>
          <w:szCs w:val="22"/>
        </w:rPr>
        <w:t>3</w:t>
      </w:r>
      <w:r w:rsidRPr="00A030C1">
        <w:rPr>
          <w:rFonts w:asciiTheme="majorHAnsi" w:hAnsiTheme="majorHAnsi" w:cs="Arial"/>
          <w:bCs/>
          <w:sz w:val="22"/>
          <w:szCs w:val="22"/>
        </w:rPr>
        <w:t xml:space="preserve"> million of major repairs work since 1999, and</w:t>
      </w:r>
      <w:r>
        <w:rPr>
          <w:rFonts w:asciiTheme="majorHAnsi" w:hAnsiTheme="majorHAnsi" w:cs="Arial"/>
          <w:bCs/>
          <w:sz w:val="22"/>
          <w:szCs w:val="22"/>
        </w:rPr>
        <w:t xml:space="preserve"> since 2014 we have helped more than 1,5</w:t>
      </w:r>
      <w:r w:rsidRPr="00A030C1">
        <w:rPr>
          <w:rFonts w:asciiTheme="majorHAnsi" w:hAnsiTheme="majorHAnsi" w:cs="Arial"/>
          <w:bCs/>
          <w:sz w:val="22"/>
          <w:szCs w:val="22"/>
        </w:rPr>
        <w:t>00 clients to obtain more than £</w:t>
      </w:r>
      <w:r>
        <w:rPr>
          <w:rFonts w:asciiTheme="majorHAnsi" w:hAnsiTheme="majorHAnsi" w:cs="Arial"/>
          <w:bCs/>
          <w:sz w:val="22"/>
          <w:szCs w:val="22"/>
        </w:rPr>
        <w:t>4.2</w:t>
      </w:r>
      <w:r w:rsidRPr="00A030C1">
        <w:rPr>
          <w:rFonts w:asciiTheme="majorHAnsi" w:hAnsiTheme="majorHAnsi" w:cs="Arial"/>
          <w:bCs/>
          <w:sz w:val="22"/>
          <w:szCs w:val="22"/>
        </w:rPr>
        <w:t xml:space="preserve"> million in unclaimed welfare support.</w:t>
      </w:r>
    </w:p>
    <w:p w:rsidR="00E74C15" w:rsidRDefault="00E74C15" w:rsidP="00E74C15">
      <w:pPr>
        <w:spacing w:line="276" w:lineRule="auto"/>
        <w:rPr>
          <w:rFonts w:asciiTheme="majorHAnsi" w:hAnsiTheme="majorHAnsi" w:cs="Arial"/>
          <w:bCs/>
          <w:sz w:val="22"/>
          <w:szCs w:val="22"/>
        </w:rPr>
      </w:pPr>
      <w:r>
        <w:rPr>
          <w:rFonts w:asciiTheme="majorHAnsi" w:hAnsiTheme="majorHAnsi" w:cs="Arial"/>
          <w:bCs/>
          <w:sz w:val="22"/>
          <w:szCs w:val="22"/>
        </w:rPr>
        <w:t xml:space="preserve">In the last year, </w:t>
      </w:r>
      <w:proofErr w:type="spellStart"/>
      <w:r>
        <w:rPr>
          <w:rFonts w:asciiTheme="majorHAnsi" w:hAnsiTheme="majorHAnsi" w:cs="Arial"/>
          <w:bCs/>
          <w:sz w:val="22"/>
          <w:szCs w:val="22"/>
        </w:rPr>
        <w:t>GhHA</w:t>
      </w:r>
      <w:proofErr w:type="spellEnd"/>
      <w:r>
        <w:rPr>
          <w:rFonts w:asciiTheme="majorHAnsi" w:hAnsiTheme="majorHAnsi" w:cs="Arial"/>
          <w:bCs/>
          <w:sz w:val="22"/>
          <w:szCs w:val="22"/>
        </w:rPr>
        <w:t xml:space="preserve"> has been designated as the community anchor organisation for Govanhill’s Thriving Place initiative to regenerate the area.  This is welcome confirmation of the leadership role we play in the community, and we continue to work closely with our </w:t>
      </w:r>
      <w:r w:rsidRPr="008E1A01">
        <w:rPr>
          <w:rFonts w:asciiTheme="majorHAnsi" w:hAnsiTheme="majorHAnsi" w:cs="Arial"/>
          <w:bCs/>
          <w:sz w:val="22"/>
          <w:szCs w:val="22"/>
        </w:rPr>
        <w:t>subsidiary company, Govanh</w:t>
      </w:r>
      <w:r>
        <w:rPr>
          <w:rFonts w:asciiTheme="majorHAnsi" w:hAnsiTheme="majorHAnsi" w:cs="Arial"/>
          <w:bCs/>
          <w:sz w:val="22"/>
          <w:szCs w:val="22"/>
        </w:rPr>
        <w:t>ill Community Development Trust, which provides a wide range of community development and support services in Govanhill.</w:t>
      </w:r>
    </w:p>
    <w:p w:rsidR="00E74C15" w:rsidRDefault="00E74C15" w:rsidP="00E74C15">
      <w:pPr>
        <w:spacing w:line="276" w:lineRule="auto"/>
        <w:rPr>
          <w:rFonts w:asciiTheme="majorHAnsi" w:hAnsiTheme="majorHAnsi" w:cs="Arial"/>
          <w:bCs/>
          <w:sz w:val="22"/>
          <w:szCs w:val="22"/>
        </w:rPr>
      </w:pPr>
    </w:p>
    <w:p w:rsidR="00E74C15" w:rsidRDefault="00E74C15" w:rsidP="00E74C15">
      <w:pPr>
        <w:spacing w:line="276" w:lineRule="auto"/>
        <w:rPr>
          <w:rFonts w:asciiTheme="majorHAnsi" w:hAnsiTheme="majorHAnsi" w:cs="Arial"/>
          <w:b/>
          <w:bCs/>
          <w:color w:val="000090"/>
          <w:sz w:val="28"/>
          <w:szCs w:val="28"/>
        </w:rPr>
      </w:pPr>
      <w:r w:rsidRPr="008E1A01">
        <w:rPr>
          <w:rFonts w:asciiTheme="majorHAnsi" w:hAnsiTheme="majorHAnsi" w:cs="Arial"/>
          <w:b/>
          <w:bCs/>
          <w:color w:val="000090"/>
          <w:sz w:val="28"/>
          <w:szCs w:val="28"/>
        </w:rPr>
        <w:t>Business Plan: Strategy for the Next Three Years</w:t>
      </w:r>
    </w:p>
    <w:p w:rsidR="00E74C15" w:rsidRPr="008E1A01" w:rsidRDefault="00E74C15" w:rsidP="00E74C15">
      <w:pPr>
        <w:spacing w:line="276" w:lineRule="auto"/>
        <w:rPr>
          <w:rFonts w:asciiTheme="majorHAnsi" w:hAnsiTheme="majorHAnsi" w:cs="Arial"/>
          <w:b/>
          <w:bCs/>
          <w:color w:val="000090"/>
          <w:sz w:val="28"/>
          <w:szCs w:val="28"/>
        </w:rPr>
      </w:pPr>
    </w:p>
    <w:p w:rsidR="00E74C15" w:rsidRDefault="00E74C15" w:rsidP="00E74C15">
      <w:pPr>
        <w:spacing w:line="276" w:lineRule="auto"/>
        <w:rPr>
          <w:rFonts w:asciiTheme="majorHAnsi" w:hAnsiTheme="majorHAnsi" w:cs="Arial"/>
          <w:bCs/>
          <w:sz w:val="22"/>
          <w:szCs w:val="22"/>
        </w:rPr>
      </w:pPr>
      <w:r w:rsidRPr="008E1A01">
        <w:rPr>
          <w:rFonts w:asciiTheme="majorHAnsi" w:hAnsiTheme="majorHAnsi" w:cs="Arial"/>
          <w:bCs/>
          <w:sz w:val="22"/>
          <w:szCs w:val="22"/>
        </w:rPr>
        <w:t xml:space="preserve">The </w:t>
      </w:r>
      <w:r>
        <w:rPr>
          <w:rFonts w:asciiTheme="majorHAnsi" w:hAnsiTheme="majorHAnsi" w:cs="Arial"/>
          <w:bCs/>
          <w:sz w:val="22"/>
          <w:szCs w:val="22"/>
        </w:rPr>
        <w:t>Management Committee has set clear aims and a clear strategic direction for the future.</w:t>
      </w:r>
    </w:p>
    <w:p w:rsidR="00E74C15" w:rsidRDefault="00E74C15" w:rsidP="00E74C15">
      <w:pPr>
        <w:spacing w:line="276" w:lineRule="auto"/>
        <w:rPr>
          <w:rFonts w:asciiTheme="majorHAnsi" w:hAnsiTheme="majorHAnsi" w:cs="Arial"/>
          <w:bCs/>
          <w:sz w:val="22"/>
          <w:szCs w:val="22"/>
        </w:rPr>
      </w:pPr>
      <w:r>
        <w:rPr>
          <w:rFonts w:asciiTheme="majorHAnsi" w:hAnsiTheme="majorHAnsi" w:cs="Arial"/>
          <w:bCs/>
          <w:sz w:val="22"/>
          <w:szCs w:val="22"/>
        </w:rPr>
        <w:t xml:space="preserve">The Business Plan articulates the following </w:t>
      </w:r>
      <w:r w:rsidRPr="008E1A01">
        <w:rPr>
          <w:rFonts w:asciiTheme="majorHAnsi" w:hAnsiTheme="majorHAnsi" w:cs="Arial"/>
          <w:b/>
          <w:bCs/>
          <w:sz w:val="22"/>
          <w:szCs w:val="22"/>
        </w:rPr>
        <w:t>vision and mission</w:t>
      </w:r>
      <w:r w:rsidRPr="008E1A01">
        <w:rPr>
          <w:rFonts w:asciiTheme="majorHAnsi" w:hAnsiTheme="majorHAnsi" w:cs="Arial"/>
          <w:bCs/>
          <w:sz w:val="22"/>
          <w:szCs w:val="22"/>
        </w:rPr>
        <w:t xml:space="preserve"> </w:t>
      </w:r>
      <w:r>
        <w:rPr>
          <w:rFonts w:asciiTheme="majorHAnsi" w:hAnsiTheme="majorHAnsi" w:cs="Arial"/>
          <w:bCs/>
          <w:sz w:val="22"/>
          <w:szCs w:val="22"/>
        </w:rPr>
        <w:t>for the future</w:t>
      </w:r>
      <w:r w:rsidRPr="008E1A01">
        <w:rPr>
          <w:rFonts w:asciiTheme="majorHAnsi" w:hAnsiTheme="majorHAnsi" w:cs="Arial"/>
          <w:bCs/>
          <w:sz w:val="22"/>
          <w:szCs w:val="22"/>
        </w:rPr>
        <w:t>:</w:t>
      </w:r>
    </w:p>
    <w:p w:rsidR="00E74C15" w:rsidRDefault="00E74C15" w:rsidP="00E74C15">
      <w:pPr>
        <w:spacing w:line="276" w:lineRule="auto"/>
        <w:rPr>
          <w:rFonts w:asciiTheme="majorHAnsi" w:hAnsiTheme="majorHAnsi" w:cs="Arial"/>
          <w:bCs/>
          <w:sz w:val="22"/>
          <w:szCs w:val="22"/>
        </w:rPr>
      </w:pPr>
    </w:p>
    <w:p w:rsidR="00E74C15" w:rsidRDefault="00E74C15" w:rsidP="00E74C15">
      <w:pPr>
        <w:spacing w:line="276" w:lineRule="auto"/>
        <w:rPr>
          <w:rFonts w:asciiTheme="majorHAnsi" w:hAnsiTheme="majorHAnsi" w:cs="Arial"/>
          <w:bCs/>
          <w:sz w:val="22"/>
          <w:szCs w:val="22"/>
        </w:rPr>
      </w:pPr>
    </w:p>
    <w:p w:rsidR="00E74C15" w:rsidRPr="008E1A01" w:rsidRDefault="00E74C15" w:rsidP="00E74C15">
      <w:pPr>
        <w:spacing w:line="276" w:lineRule="auto"/>
        <w:rPr>
          <w:rFonts w:asciiTheme="majorHAnsi" w:hAnsiTheme="majorHAnsi" w:cs="Arial"/>
          <w:bCs/>
          <w:sz w:val="22"/>
          <w:szCs w:val="22"/>
        </w:rPr>
      </w:pPr>
    </w:p>
    <w:p w:rsidR="00E74C15" w:rsidRPr="008E1A01" w:rsidRDefault="00E74C15" w:rsidP="00E74C15">
      <w:pPr>
        <w:pBdr>
          <w:top w:val="single" w:sz="18" w:space="1" w:color="8DB3E2" w:themeColor="text2" w:themeTint="66"/>
          <w:left w:val="single" w:sz="18" w:space="4" w:color="8DB3E2" w:themeColor="text2" w:themeTint="66"/>
          <w:bottom w:val="single" w:sz="18" w:space="1" w:color="8DB3E2" w:themeColor="text2" w:themeTint="66"/>
          <w:right w:val="single" w:sz="18" w:space="4" w:color="8DB3E2" w:themeColor="text2" w:themeTint="66"/>
        </w:pBdr>
        <w:spacing w:after="80" w:line="276" w:lineRule="auto"/>
        <w:rPr>
          <w:rFonts w:asciiTheme="majorHAnsi" w:hAnsiTheme="majorHAnsi" w:cs="Arial"/>
          <w:sz w:val="22"/>
          <w:szCs w:val="22"/>
        </w:rPr>
      </w:pPr>
      <w:r w:rsidRPr="008E1A01">
        <w:rPr>
          <w:rFonts w:asciiTheme="majorHAnsi" w:hAnsiTheme="majorHAnsi" w:cs="Arial"/>
          <w:sz w:val="22"/>
          <w:szCs w:val="22"/>
        </w:rPr>
        <w:t xml:space="preserve">Everyone living in Govanhill and </w:t>
      </w:r>
      <w:proofErr w:type="spellStart"/>
      <w:r w:rsidRPr="008E1A01">
        <w:rPr>
          <w:rFonts w:asciiTheme="majorHAnsi" w:hAnsiTheme="majorHAnsi" w:cs="Arial"/>
          <w:sz w:val="22"/>
          <w:szCs w:val="22"/>
        </w:rPr>
        <w:t>Merrylee</w:t>
      </w:r>
      <w:proofErr w:type="spellEnd"/>
      <w:r w:rsidRPr="008E1A01">
        <w:rPr>
          <w:rFonts w:asciiTheme="majorHAnsi" w:hAnsiTheme="majorHAnsi" w:cs="Arial"/>
          <w:sz w:val="22"/>
          <w:szCs w:val="22"/>
        </w:rPr>
        <w:t xml:space="preserve"> should:</w:t>
      </w:r>
    </w:p>
    <w:p w:rsidR="00E74C15" w:rsidRPr="008E1A01" w:rsidRDefault="00E74C15" w:rsidP="00E74C15">
      <w:pPr>
        <w:pStyle w:val="ListParagraph"/>
        <w:numPr>
          <w:ilvl w:val="0"/>
          <w:numId w:val="3"/>
        </w:numPr>
        <w:pBdr>
          <w:top w:val="single" w:sz="18" w:space="1" w:color="8DB3E2" w:themeColor="text2" w:themeTint="66"/>
          <w:left w:val="single" w:sz="18" w:space="4" w:color="8DB3E2" w:themeColor="text2" w:themeTint="66"/>
          <w:bottom w:val="single" w:sz="18" w:space="1" w:color="8DB3E2" w:themeColor="text2" w:themeTint="66"/>
          <w:right w:val="single" w:sz="18" w:space="4" w:color="8DB3E2" w:themeColor="text2" w:themeTint="66"/>
        </w:pBdr>
        <w:spacing w:after="80" w:line="276" w:lineRule="auto"/>
        <w:ind w:left="357" w:hanging="357"/>
        <w:contextualSpacing w:val="0"/>
        <w:rPr>
          <w:rFonts w:asciiTheme="majorHAnsi" w:hAnsiTheme="majorHAnsi" w:cs="Arial"/>
          <w:i/>
          <w:sz w:val="22"/>
          <w:szCs w:val="22"/>
        </w:rPr>
      </w:pPr>
      <w:r w:rsidRPr="008E1A01">
        <w:rPr>
          <w:rFonts w:asciiTheme="majorHAnsi" w:hAnsiTheme="majorHAnsi" w:cs="Arial"/>
          <w:i/>
          <w:sz w:val="22"/>
          <w:szCs w:val="22"/>
        </w:rPr>
        <w:t>Enjoy good quality, warm, safe and affordable housing that contributes to their health and wellbeing and to community pride</w:t>
      </w:r>
    </w:p>
    <w:p w:rsidR="00E74C15" w:rsidRPr="008E1A01" w:rsidRDefault="00E74C15" w:rsidP="00E74C15">
      <w:pPr>
        <w:pStyle w:val="ListParagraph"/>
        <w:numPr>
          <w:ilvl w:val="0"/>
          <w:numId w:val="3"/>
        </w:numPr>
        <w:pBdr>
          <w:top w:val="single" w:sz="18" w:space="1" w:color="8DB3E2" w:themeColor="text2" w:themeTint="66"/>
          <w:left w:val="single" w:sz="18" w:space="4" w:color="8DB3E2" w:themeColor="text2" w:themeTint="66"/>
          <w:bottom w:val="single" w:sz="18" w:space="1" w:color="8DB3E2" w:themeColor="text2" w:themeTint="66"/>
          <w:right w:val="single" w:sz="18" w:space="4" w:color="8DB3E2" w:themeColor="text2" w:themeTint="66"/>
        </w:pBdr>
        <w:spacing w:after="120" w:line="276" w:lineRule="auto"/>
        <w:ind w:left="357" w:hanging="357"/>
        <w:contextualSpacing w:val="0"/>
        <w:rPr>
          <w:rFonts w:asciiTheme="majorHAnsi" w:hAnsiTheme="majorHAnsi" w:cs="Arial"/>
          <w:i/>
          <w:sz w:val="22"/>
          <w:szCs w:val="22"/>
        </w:rPr>
      </w:pPr>
      <w:r w:rsidRPr="008E1A01">
        <w:rPr>
          <w:rFonts w:asciiTheme="majorHAnsi" w:hAnsiTheme="majorHAnsi" w:cs="Arial"/>
          <w:i/>
          <w:sz w:val="22"/>
          <w:szCs w:val="22"/>
        </w:rPr>
        <w:t>Live in a neighbourhood that is clean and well cared for, with excellent neighbourhood services and opportunities for all.</w:t>
      </w:r>
    </w:p>
    <w:p w:rsidR="00E74C15" w:rsidRDefault="00E74C15" w:rsidP="00E74C15">
      <w:pPr>
        <w:spacing w:before="240" w:after="120" w:line="276" w:lineRule="auto"/>
        <w:rPr>
          <w:rFonts w:asciiTheme="majorHAnsi" w:hAnsiTheme="majorHAnsi" w:cs="Arial"/>
          <w:bCs/>
          <w:sz w:val="22"/>
          <w:szCs w:val="22"/>
        </w:rPr>
      </w:pPr>
    </w:p>
    <w:p w:rsidR="00E74C15" w:rsidRPr="008E1A01" w:rsidRDefault="00E74C15" w:rsidP="00E74C15">
      <w:pPr>
        <w:spacing w:before="240" w:after="120" w:line="276" w:lineRule="auto"/>
        <w:rPr>
          <w:rFonts w:asciiTheme="majorHAnsi" w:hAnsiTheme="majorHAnsi" w:cs="Arial"/>
          <w:bCs/>
          <w:sz w:val="22"/>
          <w:szCs w:val="22"/>
        </w:rPr>
      </w:pPr>
      <w:r w:rsidRPr="008E1A01">
        <w:rPr>
          <w:rFonts w:asciiTheme="majorHAnsi" w:hAnsiTheme="majorHAnsi" w:cs="Arial"/>
          <w:bCs/>
          <w:sz w:val="22"/>
          <w:szCs w:val="22"/>
        </w:rPr>
        <w:t xml:space="preserve">Our </w:t>
      </w:r>
      <w:r w:rsidRPr="008E1A01">
        <w:rPr>
          <w:rFonts w:asciiTheme="majorHAnsi" w:hAnsiTheme="majorHAnsi" w:cs="Arial"/>
          <w:b/>
          <w:bCs/>
          <w:sz w:val="22"/>
          <w:szCs w:val="22"/>
        </w:rPr>
        <w:t>strategy for the future</w:t>
      </w:r>
      <w:r w:rsidRPr="008E1A01">
        <w:rPr>
          <w:rFonts w:asciiTheme="majorHAnsi" w:hAnsiTheme="majorHAnsi" w:cs="Arial"/>
          <w:bCs/>
          <w:sz w:val="22"/>
          <w:szCs w:val="22"/>
        </w:rPr>
        <w:t xml:space="preserve"> </w:t>
      </w:r>
      <w:r>
        <w:rPr>
          <w:rFonts w:asciiTheme="majorHAnsi" w:hAnsiTheme="majorHAnsi" w:cs="Arial"/>
          <w:bCs/>
          <w:sz w:val="22"/>
          <w:szCs w:val="22"/>
        </w:rPr>
        <w:t>has four main strands</w:t>
      </w:r>
      <w:r w:rsidRPr="008E1A01">
        <w:rPr>
          <w:rFonts w:asciiTheme="majorHAnsi" w:hAnsiTheme="majorHAnsi" w:cs="Arial"/>
          <w:bCs/>
          <w:sz w:val="22"/>
          <w:szCs w:val="22"/>
        </w:rPr>
        <w:t>:</w:t>
      </w:r>
    </w:p>
    <w:p w:rsidR="00E74C15" w:rsidRPr="00F75916" w:rsidRDefault="00E74C15" w:rsidP="00E74C15">
      <w:pPr>
        <w:spacing w:before="240" w:after="120" w:line="276" w:lineRule="auto"/>
        <w:rPr>
          <w:rFonts w:asciiTheme="majorHAnsi" w:hAnsiTheme="majorHAnsi" w:cs="Arial"/>
          <w:bCs/>
          <w:sz w:val="22"/>
          <w:szCs w:val="22"/>
        </w:rPr>
      </w:pPr>
      <w:r w:rsidRPr="00F75916">
        <w:rPr>
          <w:rFonts w:asciiTheme="majorHAnsi" w:hAnsiTheme="majorHAnsi"/>
          <w:b/>
          <w:noProof/>
          <w:sz w:val="28"/>
          <w:szCs w:val="28"/>
          <w:lang w:eastAsia="en-GB"/>
        </w:rPr>
        <w:drawing>
          <wp:inline distT="0" distB="0" distL="0" distR="0" wp14:anchorId="0A832D80" wp14:editId="657534C1">
            <wp:extent cx="5723890" cy="1439757"/>
            <wp:effectExtent l="95250" t="76200" r="67310" b="12255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E74C15" w:rsidRDefault="00E74C15" w:rsidP="00E74C15">
      <w:pPr>
        <w:spacing w:after="120" w:line="276" w:lineRule="auto"/>
        <w:rPr>
          <w:rFonts w:asciiTheme="majorHAnsi" w:hAnsiTheme="majorHAnsi" w:cs="Arial"/>
          <w:bCs/>
          <w:sz w:val="22"/>
          <w:szCs w:val="22"/>
        </w:rPr>
      </w:pPr>
      <w:r>
        <w:rPr>
          <w:rFonts w:asciiTheme="majorHAnsi" w:hAnsiTheme="majorHAnsi" w:cs="Arial"/>
          <w:bCs/>
          <w:sz w:val="22"/>
          <w:szCs w:val="22"/>
        </w:rPr>
        <w:t xml:space="preserve">In setting the strategy – and in considering how it will be delivered - we have </w:t>
      </w:r>
      <w:proofErr w:type="gramStart"/>
      <w:r>
        <w:rPr>
          <w:rFonts w:asciiTheme="majorHAnsi" w:hAnsiTheme="majorHAnsi" w:cs="Arial"/>
          <w:bCs/>
          <w:sz w:val="22"/>
          <w:szCs w:val="22"/>
        </w:rPr>
        <w:t>given careful consideration to</w:t>
      </w:r>
      <w:proofErr w:type="gramEnd"/>
      <w:r>
        <w:rPr>
          <w:rFonts w:asciiTheme="majorHAnsi" w:hAnsiTheme="majorHAnsi" w:cs="Arial"/>
          <w:bCs/>
          <w:sz w:val="22"/>
          <w:szCs w:val="22"/>
        </w:rPr>
        <w:t xml:space="preserve"> the external challenges and risks the Association may need to manage in the years ahead.  Not least, the impact that Universal Credit will have on our tenants and the Association’s income, and continued uncertainty about Brexit, and whether this will drive up inflation and interest rates.  The Association will manage these risks by ensuring that we have strong governance and financial management, to achieve the best outcomes possible for our tenants and for the Association in potentially challenging circumstances.</w:t>
      </w:r>
    </w:p>
    <w:p w:rsidR="00E74C15" w:rsidRDefault="00E74C15" w:rsidP="00E74C15">
      <w:pPr>
        <w:spacing w:after="120" w:line="276" w:lineRule="auto"/>
        <w:rPr>
          <w:rFonts w:asciiTheme="majorHAnsi" w:hAnsiTheme="majorHAnsi" w:cs="Arial"/>
          <w:bCs/>
          <w:sz w:val="22"/>
          <w:szCs w:val="22"/>
        </w:rPr>
      </w:pPr>
    </w:p>
    <w:p w:rsidR="00E74C15" w:rsidRDefault="00E74C15" w:rsidP="00E74C15">
      <w:pPr>
        <w:spacing w:after="120" w:line="276" w:lineRule="auto"/>
        <w:rPr>
          <w:rFonts w:asciiTheme="majorHAnsi" w:hAnsiTheme="majorHAnsi" w:cs="Arial"/>
          <w:b/>
          <w:bCs/>
          <w:color w:val="000090"/>
          <w:sz w:val="28"/>
          <w:szCs w:val="28"/>
        </w:rPr>
      </w:pPr>
      <w:r w:rsidRPr="008E1A01">
        <w:rPr>
          <w:rFonts w:asciiTheme="majorHAnsi" w:hAnsiTheme="majorHAnsi" w:cs="Arial"/>
          <w:b/>
          <w:bCs/>
          <w:color w:val="000090"/>
          <w:sz w:val="28"/>
          <w:szCs w:val="28"/>
        </w:rPr>
        <w:t xml:space="preserve">Business Plan Priorities </w:t>
      </w:r>
    </w:p>
    <w:p w:rsidR="00E74C15" w:rsidRPr="008E1A01" w:rsidRDefault="00E74C15" w:rsidP="00E74C15">
      <w:pPr>
        <w:spacing w:after="120" w:line="276" w:lineRule="auto"/>
        <w:rPr>
          <w:rFonts w:asciiTheme="majorHAnsi" w:hAnsiTheme="majorHAnsi" w:cs="Arial"/>
          <w:b/>
          <w:bCs/>
          <w:color w:val="000090"/>
          <w:sz w:val="28"/>
          <w:szCs w:val="28"/>
        </w:rPr>
      </w:pPr>
    </w:p>
    <w:p w:rsidR="00E74C15" w:rsidRPr="008E1A01" w:rsidRDefault="00E74C15" w:rsidP="00E74C15">
      <w:pPr>
        <w:spacing w:after="80" w:line="276" w:lineRule="auto"/>
        <w:rPr>
          <w:rFonts w:asciiTheme="majorHAnsi" w:hAnsiTheme="majorHAnsi" w:cs="Arial"/>
          <w:b/>
          <w:color w:val="000090"/>
        </w:rPr>
      </w:pPr>
      <w:r w:rsidRPr="008E1A01">
        <w:rPr>
          <w:rFonts w:asciiTheme="majorHAnsi" w:hAnsiTheme="majorHAnsi" w:cs="Arial"/>
          <w:b/>
          <w:color w:val="000090"/>
        </w:rPr>
        <w:t>Consolidating and improving our landlord services</w:t>
      </w:r>
    </w:p>
    <w:p w:rsidR="00E74C15" w:rsidRPr="008E1A01" w:rsidRDefault="00E74C15" w:rsidP="00E74C15">
      <w:pPr>
        <w:spacing w:after="120" w:line="276" w:lineRule="auto"/>
        <w:rPr>
          <w:rFonts w:asciiTheme="majorHAnsi" w:hAnsiTheme="majorHAnsi" w:cs="Arial"/>
          <w:bCs/>
          <w:sz w:val="22"/>
          <w:szCs w:val="22"/>
        </w:rPr>
      </w:pPr>
      <w:r w:rsidRPr="008E1A01">
        <w:rPr>
          <w:rFonts w:asciiTheme="majorHAnsi" w:hAnsiTheme="majorHAnsi" w:cs="Arial"/>
          <w:bCs/>
          <w:sz w:val="22"/>
          <w:szCs w:val="22"/>
        </w:rPr>
        <w:t xml:space="preserve">The Association’s performance in meeting the Scottish Social Housing Charter (the standards all social landlords must meet) </w:t>
      </w:r>
      <w:r>
        <w:rPr>
          <w:rFonts w:asciiTheme="majorHAnsi" w:hAnsiTheme="majorHAnsi" w:cs="Arial"/>
          <w:bCs/>
          <w:sz w:val="22"/>
          <w:szCs w:val="22"/>
        </w:rPr>
        <w:t xml:space="preserve">continues to improve, along with </w:t>
      </w:r>
      <w:r w:rsidRPr="008E1A01">
        <w:rPr>
          <w:rFonts w:asciiTheme="majorHAnsi" w:hAnsiTheme="majorHAnsi" w:cs="Arial"/>
          <w:bCs/>
          <w:sz w:val="22"/>
          <w:szCs w:val="22"/>
        </w:rPr>
        <w:t xml:space="preserve">increases in customer satisfaction levels.   </w:t>
      </w:r>
    </w:p>
    <w:p w:rsidR="00E74C15" w:rsidRPr="008E1A01" w:rsidRDefault="00E74C15" w:rsidP="00E74C15">
      <w:pPr>
        <w:spacing w:after="120" w:line="276" w:lineRule="auto"/>
        <w:rPr>
          <w:rFonts w:asciiTheme="majorHAnsi" w:hAnsiTheme="majorHAnsi" w:cs="Arial"/>
          <w:bCs/>
          <w:sz w:val="22"/>
          <w:szCs w:val="22"/>
        </w:rPr>
      </w:pPr>
      <w:r w:rsidRPr="008E1A01">
        <w:rPr>
          <w:rFonts w:asciiTheme="majorHAnsi" w:hAnsiTheme="majorHAnsi" w:cs="Arial"/>
          <w:bCs/>
          <w:sz w:val="22"/>
          <w:szCs w:val="22"/>
        </w:rPr>
        <w:t xml:space="preserve">We are also aware that there are areas where tenant satisfaction is lower, for example the condition of closes and back gardens and </w:t>
      </w:r>
      <w:r>
        <w:rPr>
          <w:rFonts w:asciiTheme="majorHAnsi" w:hAnsiTheme="majorHAnsi" w:cs="Arial"/>
          <w:bCs/>
          <w:sz w:val="22"/>
          <w:szCs w:val="22"/>
        </w:rPr>
        <w:t>the financial pressures many tenants face in paying their rent.</w:t>
      </w:r>
      <w:r w:rsidRPr="008E1A01">
        <w:rPr>
          <w:rFonts w:asciiTheme="majorHAnsi" w:hAnsiTheme="majorHAnsi" w:cs="Arial"/>
          <w:bCs/>
          <w:sz w:val="22"/>
          <w:szCs w:val="22"/>
        </w:rPr>
        <w:t xml:space="preserve"> </w:t>
      </w:r>
    </w:p>
    <w:p w:rsidR="00E74C15" w:rsidRDefault="00E74C15" w:rsidP="00E74C15">
      <w:pPr>
        <w:spacing w:after="120" w:line="276" w:lineRule="auto"/>
        <w:rPr>
          <w:rFonts w:asciiTheme="majorHAnsi" w:hAnsiTheme="majorHAnsi" w:cs="Arial"/>
          <w:bCs/>
          <w:sz w:val="22"/>
          <w:szCs w:val="22"/>
        </w:rPr>
      </w:pPr>
      <w:r w:rsidRPr="008E1A01">
        <w:rPr>
          <w:rFonts w:asciiTheme="majorHAnsi" w:hAnsiTheme="majorHAnsi" w:cs="Arial"/>
          <w:bCs/>
          <w:sz w:val="22"/>
          <w:szCs w:val="22"/>
        </w:rPr>
        <w:t>Our priorities for 2019/20</w:t>
      </w:r>
      <w:r w:rsidRPr="0072740F">
        <w:rPr>
          <w:rFonts w:asciiTheme="majorHAnsi" w:hAnsiTheme="majorHAnsi" w:cs="Arial"/>
          <w:bCs/>
          <w:sz w:val="22"/>
          <w:szCs w:val="22"/>
        </w:rPr>
        <w:t xml:space="preserve"> include:</w:t>
      </w:r>
    </w:p>
    <w:p w:rsidR="00E74C15" w:rsidRPr="00B40F17" w:rsidRDefault="00E74C15" w:rsidP="00E74C15">
      <w:pPr>
        <w:pStyle w:val="ListParagraph"/>
        <w:numPr>
          <w:ilvl w:val="0"/>
          <w:numId w:val="2"/>
        </w:numPr>
        <w:spacing w:after="120" w:line="276" w:lineRule="auto"/>
        <w:ind w:left="357" w:hanging="357"/>
        <w:contextualSpacing w:val="0"/>
        <w:rPr>
          <w:rFonts w:asciiTheme="majorHAnsi" w:hAnsiTheme="majorHAnsi" w:cs="Arial"/>
          <w:sz w:val="22"/>
          <w:szCs w:val="22"/>
        </w:rPr>
      </w:pPr>
      <w:r w:rsidRPr="00B40F17">
        <w:rPr>
          <w:rFonts w:asciiTheme="majorHAnsi" w:hAnsiTheme="majorHAnsi" w:cs="Arial"/>
          <w:sz w:val="22"/>
          <w:szCs w:val="22"/>
        </w:rPr>
        <w:t>Keeping lost rental income under control, as more tenants move to Universal Credit</w:t>
      </w:r>
    </w:p>
    <w:p w:rsidR="00E74C15" w:rsidRPr="0072740F" w:rsidRDefault="00E74C15" w:rsidP="00E74C15">
      <w:pPr>
        <w:pStyle w:val="ListParagraph"/>
        <w:widowControl w:val="0"/>
        <w:numPr>
          <w:ilvl w:val="0"/>
          <w:numId w:val="2"/>
        </w:numPr>
        <w:tabs>
          <w:tab w:val="left" w:pos="567"/>
        </w:tabs>
        <w:adjustRightInd w:val="0"/>
        <w:spacing w:after="120" w:line="276" w:lineRule="auto"/>
        <w:ind w:left="357" w:hanging="357"/>
        <w:contextualSpacing w:val="0"/>
        <w:textAlignment w:val="baseline"/>
        <w:rPr>
          <w:rFonts w:asciiTheme="majorHAnsi" w:hAnsiTheme="majorHAnsi" w:cs="Arial"/>
          <w:sz w:val="22"/>
          <w:szCs w:val="22"/>
        </w:rPr>
      </w:pPr>
      <w:r w:rsidRPr="0072740F">
        <w:rPr>
          <w:rFonts w:asciiTheme="majorHAnsi" w:hAnsiTheme="majorHAnsi" w:cs="Arial"/>
          <w:sz w:val="22"/>
          <w:szCs w:val="22"/>
        </w:rPr>
        <w:t xml:space="preserve">Providing tenants with expert support through the </w:t>
      </w:r>
      <w:r w:rsidRPr="0072740F">
        <w:rPr>
          <w:rFonts w:asciiTheme="majorHAnsi" w:hAnsiTheme="majorHAnsi" w:cs="Arial"/>
          <w:bCs/>
          <w:sz w:val="22"/>
          <w:szCs w:val="22"/>
        </w:rPr>
        <w:t xml:space="preserve">Govanhill Welfare Reform &amp; Financial Literacy Hub  </w:t>
      </w:r>
    </w:p>
    <w:p w:rsidR="00E74C15" w:rsidRPr="0072740F" w:rsidRDefault="00E74C15" w:rsidP="00E74C15">
      <w:pPr>
        <w:pStyle w:val="ListParagraph"/>
        <w:widowControl w:val="0"/>
        <w:numPr>
          <w:ilvl w:val="0"/>
          <w:numId w:val="2"/>
        </w:numPr>
        <w:tabs>
          <w:tab w:val="left" w:pos="567"/>
        </w:tabs>
        <w:adjustRightInd w:val="0"/>
        <w:spacing w:after="120" w:line="276" w:lineRule="auto"/>
        <w:ind w:left="357" w:hanging="357"/>
        <w:contextualSpacing w:val="0"/>
        <w:textAlignment w:val="baseline"/>
        <w:rPr>
          <w:rFonts w:asciiTheme="majorHAnsi" w:hAnsiTheme="majorHAnsi" w:cs="Arial"/>
          <w:sz w:val="22"/>
          <w:szCs w:val="22"/>
        </w:rPr>
      </w:pPr>
      <w:r w:rsidRPr="0072740F">
        <w:rPr>
          <w:rFonts w:asciiTheme="majorHAnsi" w:hAnsiTheme="majorHAnsi" w:cs="Arial"/>
          <w:sz w:val="22"/>
          <w:szCs w:val="22"/>
        </w:rPr>
        <w:lastRenderedPageBreak/>
        <w:t>Improving our performance in managing empty homes</w:t>
      </w:r>
    </w:p>
    <w:p w:rsidR="00E74C15" w:rsidRDefault="00E74C15" w:rsidP="00E74C15">
      <w:pPr>
        <w:pStyle w:val="ListParagraph"/>
        <w:numPr>
          <w:ilvl w:val="0"/>
          <w:numId w:val="5"/>
        </w:numPr>
        <w:spacing w:after="120" w:line="276" w:lineRule="auto"/>
        <w:contextualSpacing w:val="0"/>
        <w:rPr>
          <w:rFonts w:asciiTheme="majorHAnsi" w:hAnsiTheme="majorHAnsi" w:cs="Arial"/>
          <w:bCs/>
          <w:sz w:val="22"/>
          <w:szCs w:val="22"/>
        </w:rPr>
      </w:pPr>
      <w:r>
        <w:rPr>
          <w:rFonts w:asciiTheme="majorHAnsi" w:hAnsiTheme="majorHAnsi" w:cs="Arial"/>
          <w:bCs/>
          <w:sz w:val="22"/>
          <w:szCs w:val="22"/>
        </w:rPr>
        <w:t xml:space="preserve">Implementing our new contract for responsive and void </w:t>
      </w:r>
      <w:proofErr w:type="gramStart"/>
      <w:r>
        <w:rPr>
          <w:rFonts w:asciiTheme="majorHAnsi" w:hAnsiTheme="majorHAnsi" w:cs="Arial"/>
          <w:bCs/>
          <w:sz w:val="22"/>
          <w:szCs w:val="22"/>
        </w:rPr>
        <w:t>repairs, and</w:t>
      </w:r>
      <w:proofErr w:type="gramEnd"/>
      <w:r>
        <w:rPr>
          <w:rFonts w:asciiTheme="majorHAnsi" w:hAnsiTheme="majorHAnsi" w:cs="Arial"/>
          <w:bCs/>
          <w:sz w:val="22"/>
          <w:szCs w:val="22"/>
        </w:rPr>
        <w:t xml:space="preserve"> completing the procurement of our remaining maintenance contracts.</w:t>
      </w:r>
    </w:p>
    <w:p w:rsidR="00E74C15" w:rsidRPr="0072740F" w:rsidRDefault="00E74C15" w:rsidP="00E74C15">
      <w:pPr>
        <w:spacing w:before="240" w:after="80" w:line="276" w:lineRule="auto"/>
        <w:rPr>
          <w:rFonts w:asciiTheme="majorHAnsi" w:hAnsiTheme="majorHAnsi" w:cs="Arial"/>
          <w:b/>
          <w:color w:val="000090"/>
        </w:rPr>
      </w:pPr>
      <w:r w:rsidRPr="0072740F">
        <w:rPr>
          <w:rFonts w:asciiTheme="majorHAnsi" w:hAnsiTheme="majorHAnsi" w:cs="Arial"/>
          <w:b/>
          <w:color w:val="000090"/>
        </w:rPr>
        <w:t>Investment in our tenants’ homes and in new homes</w:t>
      </w:r>
    </w:p>
    <w:p w:rsidR="00E74C15" w:rsidRPr="0072740F" w:rsidRDefault="00E74C15" w:rsidP="00E74C15">
      <w:pPr>
        <w:spacing w:after="120" w:line="276" w:lineRule="auto"/>
        <w:rPr>
          <w:rFonts w:asciiTheme="majorHAnsi" w:hAnsiTheme="majorHAnsi" w:cs="Arial"/>
          <w:sz w:val="22"/>
          <w:szCs w:val="22"/>
        </w:rPr>
      </w:pPr>
      <w:proofErr w:type="spellStart"/>
      <w:r>
        <w:rPr>
          <w:rFonts w:asciiTheme="majorHAnsi" w:hAnsiTheme="majorHAnsi" w:cs="Arial"/>
          <w:sz w:val="22"/>
          <w:szCs w:val="22"/>
        </w:rPr>
        <w:t>GhHA</w:t>
      </w:r>
      <w:proofErr w:type="spellEnd"/>
      <w:r>
        <w:rPr>
          <w:rFonts w:asciiTheme="majorHAnsi" w:hAnsiTheme="majorHAnsi" w:cs="Arial"/>
          <w:sz w:val="22"/>
          <w:szCs w:val="22"/>
        </w:rPr>
        <w:t xml:space="preserve"> </w:t>
      </w:r>
      <w:r w:rsidRPr="0072740F">
        <w:rPr>
          <w:rFonts w:asciiTheme="majorHAnsi" w:hAnsiTheme="majorHAnsi" w:cs="Arial"/>
          <w:sz w:val="22"/>
          <w:szCs w:val="22"/>
        </w:rPr>
        <w:t>will produce a comprehensive, organisation-wide Asset Management Strategy.</w:t>
      </w:r>
      <w:r>
        <w:rPr>
          <w:rFonts w:asciiTheme="majorHAnsi" w:hAnsiTheme="majorHAnsi" w:cs="Arial"/>
          <w:sz w:val="22"/>
          <w:szCs w:val="22"/>
        </w:rPr>
        <w:t xml:space="preserve">  This will help us to understand demand for our houses better and what options we should be considering for future management and investment.  Overall, the Strategy will help us to carry out the analysis that is needed to make future decisions based on firm evidence.</w:t>
      </w:r>
    </w:p>
    <w:p w:rsidR="00E74C15" w:rsidRPr="0072740F" w:rsidRDefault="00E74C15" w:rsidP="00E74C15">
      <w:pPr>
        <w:spacing w:after="120" w:line="276" w:lineRule="auto"/>
        <w:rPr>
          <w:rFonts w:asciiTheme="majorHAnsi" w:hAnsiTheme="majorHAnsi" w:cs="Arial"/>
          <w:sz w:val="22"/>
          <w:szCs w:val="22"/>
        </w:rPr>
      </w:pPr>
      <w:proofErr w:type="spellStart"/>
      <w:r w:rsidRPr="0072740F">
        <w:rPr>
          <w:rFonts w:asciiTheme="majorHAnsi" w:hAnsiTheme="majorHAnsi" w:cs="Arial"/>
          <w:sz w:val="22"/>
          <w:szCs w:val="22"/>
        </w:rPr>
        <w:t>GhHA</w:t>
      </w:r>
      <w:proofErr w:type="spellEnd"/>
      <w:r w:rsidRPr="0072740F">
        <w:rPr>
          <w:rFonts w:asciiTheme="majorHAnsi" w:hAnsiTheme="majorHAnsi" w:cs="Arial"/>
          <w:sz w:val="22"/>
          <w:szCs w:val="22"/>
        </w:rPr>
        <w:t xml:space="preserve"> will continue to prioritise investment in our tenants’ homes.  In the 2018 Customer Satisfaction Survey (1050 interviews), 91% of respondents told us that improving tenants’ homes was a top priority for them.  </w:t>
      </w:r>
    </w:p>
    <w:p w:rsidR="00E74C15" w:rsidRPr="0072740F" w:rsidRDefault="00E74C15" w:rsidP="00E74C15">
      <w:pPr>
        <w:spacing w:after="120" w:line="276" w:lineRule="auto"/>
        <w:rPr>
          <w:rFonts w:asciiTheme="majorHAnsi" w:hAnsiTheme="majorHAnsi" w:cs="Arial"/>
          <w:sz w:val="22"/>
          <w:szCs w:val="22"/>
        </w:rPr>
      </w:pPr>
      <w:r w:rsidRPr="0072740F">
        <w:rPr>
          <w:rFonts w:asciiTheme="majorHAnsi" w:hAnsiTheme="majorHAnsi" w:cs="Arial"/>
          <w:sz w:val="22"/>
          <w:szCs w:val="22"/>
        </w:rPr>
        <w:t>The Business Plan proposes an investment programme of c. £</w:t>
      </w:r>
      <w:r>
        <w:rPr>
          <w:rFonts w:asciiTheme="majorHAnsi" w:hAnsiTheme="majorHAnsi" w:cs="Arial"/>
          <w:sz w:val="22"/>
          <w:szCs w:val="22"/>
        </w:rPr>
        <w:t>2.8</w:t>
      </w:r>
      <w:r w:rsidRPr="0072740F">
        <w:rPr>
          <w:rFonts w:asciiTheme="majorHAnsi" w:hAnsiTheme="majorHAnsi" w:cs="Arial"/>
          <w:sz w:val="22"/>
          <w:szCs w:val="22"/>
        </w:rPr>
        <w:t xml:space="preserve"> million each year, including work to renew kitchens and bathrooms, install energy efficient boilers, replace single glazed windows, as well as carry out other work that will help to reduce tenants’ fuel bills.  </w:t>
      </w:r>
    </w:p>
    <w:p w:rsidR="00E74C15" w:rsidRPr="0072740F" w:rsidRDefault="00E74C15" w:rsidP="00E74C15">
      <w:pPr>
        <w:spacing w:after="240" w:line="276" w:lineRule="auto"/>
        <w:rPr>
          <w:rFonts w:asciiTheme="majorHAnsi" w:hAnsiTheme="majorHAnsi" w:cs="Arial"/>
          <w:sz w:val="22"/>
          <w:szCs w:val="22"/>
        </w:rPr>
      </w:pPr>
      <w:r w:rsidRPr="0072740F">
        <w:rPr>
          <w:rFonts w:asciiTheme="majorHAnsi" w:hAnsiTheme="majorHAnsi" w:cs="Arial"/>
          <w:b/>
          <w:color w:val="000090"/>
        </w:rPr>
        <w:t>Investment in new homes</w:t>
      </w:r>
      <w:r w:rsidRPr="0072740F">
        <w:rPr>
          <w:rFonts w:asciiTheme="majorHAnsi" w:hAnsiTheme="majorHAnsi" w:cs="Arial"/>
          <w:sz w:val="22"/>
          <w:szCs w:val="22"/>
        </w:rPr>
        <w:t xml:space="preserve"> </w:t>
      </w:r>
    </w:p>
    <w:p w:rsidR="00E74C15" w:rsidRPr="0072740F" w:rsidRDefault="00E74C15" w:rsidP="00E74C15">
      <w:pPr>
        <w:spacing w:after="120" w:line="276" w:lineRule="auto"/>
        <w:rPr>
          <w:rFonts w:asciiTheme="majorHAnsi" w:hAnsiTheme="majorHAnsi" w:cs="Arial"/>
          <w:sz w:val="22"/>
          <w:szCs w:val="22"/>
        </w:rPr>
      </w:pPr>
      <w:r>
        <w:rPr>
          <w:rFonts w:asciiTheme="majorHAnsi" w:hAnsiTheme="majorHAnsi" w:cs="Arial"/>
          <w:sz w:val="22"/>
          <w:szCs w:val="22"/>
        </w:rPr>
        <w:t xml:space="preserve">Following the completion of </w:t>
      </w:r>
      <w:proofErr w:type="spellStart"/>
      <w:r>
        <w:rPr>
          <w:rFonts w:asciiTheme="majorHAnsi" w:hAnsiTheme="majorHAnsi" w:cs="Arial"/>
          <w:sz w:val="22"/>
          <w:szCs w:val="22"/>
        </w:rPr>
        <w:t>GhHA’s</w:t>
      </w:r>
      <w:proofErr w:type="spellEnd"/>
      <w:r>
        <w:rPr>
          <w:rFonts w:asciiTheme="majorHAnsi" w:hAnsiTheme="majorHAnsi" w:cs="Arial"/>
          <w:sz w:val="22"/>
          <w:szCs w:val="22"/>
        </w:rPr>
        <w:t xml:space="preserve"> new build projects at 195-201 Victoria Road and 134 Inglefield Street, our next development at </w:t>
      </w:r>
      <w:r w:rsidRPr="0072740F">
        <w:rPr>
          <w:rFonts w:asciiTheme="majorHAnsi" w:hAnsiTheme="majorHAnsi" w:cs="Arial"/>
          <w:sz w:val="22"/>
          <w:szCs w:val="22"/>
        </w:rPr>
        <w:t xml:space="preserve">159 </w:t>
      </w:r>
      <w:proofErr w:type="spellStart"/>
      <w:r w:rsidRPr="0072740F">
        <w:rPr>
          <w:rFonts w:asciiTheme="majorHAnsi" w:hAnsiTheme="majorHAnsi" w:cs="Arial"/>
          <w:sz w:val="22"/>
          <w:szCs w:val="22"/>
        </w:rPr>
        <w:t>Butterbiggins</w:t>
      </w:r>
      <w:proofErr w:type="spellEnd"/>
      <w:r w:rsidRPr="0072740F">
        <w:rPr>
          <w:rFonts w:asciiTheme="majorHAnsi" w:hAnsiTheme="majorHAnsi" w:cs="Arial"/>
          <w:sz w:val="22"/>
          <w:szCs w:val="22"/>
        </w:rPr>
        <w:t xml:space="preserve"> Road</w:t>
      </w:r>
      <w:r>
        <w:rPr>
          <w:rFonts w:asciiTheme="majorHAnsi" w:hAnsiTheme="majorHAnsi" w:cs="Arial"/>
          <w:sz w:val="22"/>
          <w:szCs w:val="22"/>
        </w:rPr>
        <w:t xml:space="preserve"> is scheduled for a site start in the final quarter of 2019/20</w:t>
      </w:r>
      <w:r w:rsidRPr="0072740F">
        <w:rPr>
          <w:rFonts w:asciiTheme="majorHAnsi" w:hAnsiTheme="majorHAnsi" w:cs="Arial"/>
          <w:sz w:val="22"/>
          <w:szCs w:val="22"/>
        </w:rPr>
        <w:t>. Together the three new build projects will provide 88 new homes, including homes for people whose needs cannot be met in the traditional tenements, such as larger families, older people and wheelchair users.</w:t>
      </w:r>
    </w:p>
    <w:p w:rsidR="00E74C15" w:rsidRPr="0072740F" w:rsidRDefault="00E74C15" w:rsidP="00E74C15">
      <w:pPr>
        <w:spacing w:after="120" w:line="276" w:lineRule="auto"/>
        <w:rPr>
          <w:rFonts w:asciiTheme="majorHAnsi" w:hAnsiTheme="majorHAnsi" w:cs="Arial"/>
          <w:sz w:val="22"/>
          <w:szCs w:val="22"/>
        </w:rPr>
      </w:pPr>
      <w:r>
        <w:rPr>
          <w:rFonts w:asciiTheme="majorHAnsi" w:hAnsiTheme="majorHAnsi" w:cs="Arial"/>
          <w:sz w:val="22"/>
          <w:szCs w:val="22"/>
        </w:rPr>
        <w:t xml:space="preserve">We will consider further </w:t>
      </w:r>
      <w:r w:rsidRPr="0072740F">
        <w:rPr>
          <w:rFonts w:asciiTheme="majorHAnsi" w:hAnsiTheme="majorHAnsi" w:cs="Arial"/>
          <w:sz w:val="22"/>
          <w:szCs w:val="22"/>
        </w:rPr>
        <w:t xml:space="preserve">development opportunities on </w:t>
      </w:r>
      <w:r>
        <w:rPr>
          <w:rFonts w:asciiTheme="majorHAnsi" w:hAnsiTheme="majorHAnsi" w:cs="Arial"/>
          <w:sz w:val="22"/>
          <w:szCs w:val="22"/>
        </w:rPr>
        <w:t>their merits as they arise</w:t>
      </w:r>
      <w:r w:rsidRPr="0072740F">
        <w:rPr>
          <w:rFonts w:asciiTheme="majorHAnsi" w:hAnsiTheme="majorHAnsi" w:cs="Arial"/>
          <w:sz w:val="22"/>
          <w:szCs w:val="22"/>
        </w:rPr>
        <w:t>.</w:t>
      </w:r>
      <w:r>
        <w:rPr>
          <w:rFonts w:asciiTheme="majorHAnsi" w:hAnsiTheme="majorHAnsi" w:cs="Arial"/>
          <w:sz w:val="22"/>
          <w:szCs w:val="22"/>
        </w:rPr>
        <w:t xml:space="preserve">  There are competing demands on the Association’s cashflow during the next five years, so we will consider viability and sustainability carefully before committing to new developments.</w:t>
      </w:r>
    </w:p>
    <w:p w:rsidR="00E74C15" w:rsidRPr="0072740F" w:rsidRDefault="00E74C15" w:rsidP="00E74C15">
      <w:pPr>
        <w:spacing w:before="240" w:after="60" w:line="276" w:lineRule="auto"/>
        <w:rPr>
          <w:rFonts w:asciiTheme="majorHAnsi" w:hAnsiTheme="majorHAnsi" w:cs="Arial"/>
          <w:b/>
          <w:bCs/>
          <w:color w:val="000090"/>
        </w:rPr>
      </w:pPr>
      <w:r w:rsidRPr="0072740F">
        <w:rPr>
          <w:rFonts w:asciiTheme="majorHAnsi" w:hAnsiTheme="majorHAnsi" w:cs="Arial"/>
          <w:b/>
          <w:bCs/>
          <w:color w:val="000090"/>
        </w:rPr>
        <w:t>Tackling poor housing conditions in South West Govanhill (18 tenement blocks)</w:t>
      </w:r>
    </w:p>
    <w:p w:rsidR="00E74C15" w:rsidRPr="00F75916" w:rsidRDefault="00E74C15" w:rsidP="00E74C15">
      <w:pPr>
        <w:spacing w:after="120" w:line="276" w:lineRule="auto"/>
        <w:rPr>
          <w:rFonts w:asciiTheme="majorHAnsi" w:hAnsiTheme="majorHAnsi" w:cs="Arial"/>
          <w:sz w:val="22"/>
          <w:szCs w:val="22"/>
        </w:rPr>
      </w:pPr>
      <w:proofErr w:type="spellStart"/>
      <w:r w:rsidRPr="0072740F">
        <w:rPr>
          <w:rFonts w:asciiTheme="majorHAnsi" w:hAnsiTheme="majorHAnsi" w:cs="Arial"/>
          <w:bCs/>
          <w:sz w:val="22"/>
          <w:szCs w:val="22"/>
        </w:rPr>
        <w:t>GhHA</w:t>
      </w:r>
      <w:proofErr w:type="spellEnd"/>
      <w:r w:rsidRPr="0072740F">
        <w:rPr>
          <w:rFonts w:asciiTheme="majorHAnsi" w:hAnsiTheme="majorHAnsi" w:cs="Arial"/>
          <w:bCs/>
          <w:sz w:val="22"/>
          <w:szCs w:val="22"/>
        </w:rPr>
        <w:t xml:space="preserve"> has secured £34 million funding from Glasgow City Council and the Scottish Government for an Acquisition and Repair Programme to be completed between 2017/18 to 2020/21.  </w:t>
      </w:r>
      <w:proofErr w:type="spellStart"/>
      <w:r w:rsidRPr="0072740F">
        <w:rPr>
          <w:rFonts w:asciiTheme="majorHAnsi" w:hAnsiTheme="majorHAnsi" w:cs="Arial"/>
          <w:bCs/>
          <w:sz w:val="22"/>
          <w:szCs w:val="22"/>
        </w:rPr>
        <w:t>GhHA</w:t>
      </w:r>
      <w:proofErr w:type="spellEnd"/>
      <w:r w:rsidRPr="0072740F">
        <w:rPr>
          <w:rFonts w:asciiTheme="majorHAnsi" w:hAnsiTheme="majorHAnsi" w:cs="Arial"/>
          <w:bCs/>
          <w:sz w:val="22"/>
          <w:szCs w:val="22"/>
        </w:rPr>
        <w:t xml:space="preserve"> will use the funding to purchase properties in South West Govanhill and to carry out an appropriate level of works, which may be internal works; more </w:t>
      </w:r>
      <w:r w:rsidRPr="0072740F">
        <w:rPr>
          <w:rFonts w:asciiTheme="majorHAnsi" w:hAnsiTheme="majorHAnsi"/>
          <w:sz w:val="22"/>
          <w:szCs w:val="22"/>
        </w:rPr>
        <w:t xml:space="preserve">comprehensive </w:t>
      </w:r>
      <w:r w:rsidRPr="00F75916">
        <w:rPr>
          <w:rFonts w:asciiTheme="majorHAnsi" w:hAnsiTheme="majorHAnsi" w:cs="Arial"/>
          <w:sz w:val="22"/>
          <w:szCs w:val="22"/>
        </w:rPr>
        <w:t>major repair, common works and internal works; or common repair schemes. In the first year of the Business Plan</w:t>
      </w:r>
      <w:r>
        <w:rPr>
          <w:rFonts w:asciiTheme="majorHAnsi" w:hAnsiTheme="majorHAnsi" w:cs="Arial"/>
          <w:sz w:val="22"/>
          <w:szCs w:val="22"/>
        </w:rPr>
        <w:t xml:space="preserve"> (2019/20)</w:t>
      </w:r>
      <w:r w:rsidRPr="00F75916">
        <w:rPr>
          <w:rFonts w:asciiTheme="majorHAnsi" w:hAnsiTheme="majorHAnsi" w:cs="Arial"/>
          <w:sz w:val="22"/>
          <w:szCs w:val="22"/>
        </w:rPr>
        <w:t xml:space="preserve">, </w:t>
      </w:r>
      <w:proofErr w:type="spellStart"/>
      <w:r w:rsidRPr="00F75916">
        <w:rPr>
          <w:rFonts w:asciiTheme="majorHAnsi" w:hAnsiTheme="majorHAnsi" w:cs="Arial"/>
          <w:sz w:val="22"/>
          <w:szCs w:val="22"/>
        </w:rPr>
        <w:t>GhHA</w:t>
      </w:r>
      <w:proofErr w:type="spellEnd"/>
      <w:r w:rsidRPr="00F75916">
        <w:rPr>
          <w:rFonts w:asciiTheme="majorHAnsi" w:hAnsiTheme="majorHAnsi" w:cs="Arial"/>
          <w:sz w:val="22"/>
          <w:szCs w:val="22"/>
        </w:rPr>
        <w:t xml:space="preserve"> anticipates:</w:t>
      </w:r>
    </w:p>
    <w:p w:rsidR="00E74C15" w:rsidRPr="00F75916" w:rsidRDefault="00E74C15" w:rsidP="00E74C15">
      <w:pPr>
        <w:pStyle w:val="ListParagraph"/>
        <w:numPr>
          <w:ilvl w:val="0"/>
          <w:numId w:val="1"/>
        </w:numPr>
        <w:spacing w:after="120" w:line="276" w:lineRule="auto"/>
        <w:ind w:left="357" w:hanging="357"/>
        <w:contextualSpacing w:val="0"/>
        <w:rPr>
          <w:rFonts w:asciiTheme="majorHAnsi" w:hAnsiTheme="majorHAnsi"/>
          <w:sz w:val="22"/>
          <w:szCs w:val="22"/>
        </w:rPr>
      </w:pPr>
      <w:r>
        <w:rPr>
          <w:rFonts w:asciiTheme="majorHAnsi" w:hAnsiTheme="majorHAnsi"/>
          <w:sz w:val="22"/>
          <w:szCs w:val="22"/>
        </w:rPr>
        <w:t xml:space="preserve">Acquiring </w:t>
      </w:r>
      <w:r w:rsidRPr="00F75916">
        <w:rPr>
          <w:rFonts w:asciiTheme="majorHAnsi" w:hAnsiTheme="majorHAnsi"/>
          <w:sz w:val="22"/>
          <w:szCs w:val="22"/>
        </w:rPr>
        <w:t>circa 60 flats</w:t>
      </w:r>
      <w:r>
        <w:rPr>
          <w:rFonts w:asciiTheme="majorHAnsi" w:hAnsiTheme="majorHAnsi"/>
          <w:sz w:val="22"/>
          <w:szCs w:val="22"/>
        </w:rPr>
        <w:t xml:space="preserve"> </w:t>
      </w:r>
    </w:p>
    <w:p w:rsidR="00E74C15" w:rsidRPr="0072740F" w:rsidRDefault="00E74C15" w:rsidP="00E74C15">
      <w:pPr>
        <w:pStyle w:val="ListParagraph"/>
        <w:numPr>
          <w:ilvl w:val="0"/>
          <w:numId w:val="1"/>
        </w:numPr>
        <w:spacing w:after="120" w:line="276" w:lineRule="auto"/>
        <w:ind w:left="357" w:hanging="357"/>
        <w:contextualSpacing w:val="0"/>
        <w:rPr>
          <w:rFonts w:asciiTheme="majorHAnsi" w:hAnsiTheme="majorHAnsi"/>
          <w:sz w:val="22"/>
          <w:szCs w:val="22"/>
        </w:rPr>
      </w:pPr>
      <w:r w:rsidRPr="0072740F">
        <w:rPr>
          <w:rFonts w:asciiTheme="majorHAnsi" w:hAnsiTheme="majorHAnsi"/>
          <w:sz w:val="22"/>
          <w:szCs w:val="22"/>
        </w:rPr>
        <w:t xml:space="preserve">Completing internal improvements and repairs to circa </w:t>
      </w:r>
      <w:r>
        <w:rPr>
          <w:rFonts w:asciiTheme="majorHAnsi" w:hAnsiTheme="majorHAnsi"/>
          <w:sz w:val="22"/>
          <w:szCs w:val="22"/>
        </w:rPr>
        <w:t>100</w:t>
      </w:r>
      <w:r w:rsidRPr="0072740F">
        <w:rPr>
          <w:rFonts w:asciiTheme="majorHAnsi" w:hAnsiTheme="majorHAnsi"/>
          <w:sz w:val="22"/>
          <w:szCs w:val="22"/>
        </w:rPr>
        <w:t xml:space="preserve"> acquired flats </w:t>
      </w:r>
    </w:p>
    <w:p w:rsidR="00E74C15" w:rsidRPr="0072740F" w:rsidRDefault="00E74C15" w:rsidP="00E74C15">
      <w:pPr>
        <w:pStyle w:val="ListParagraph"/>
        <w:numPr>
          <w:ilvl w:val="0"/>
          <w:numId w:val="1"/>
        </w:numPr>
        <w:spacing w:after="120" w:line="276" w:lineRule="auto"/>
        <w:ind w:left="357" w:hanging="357"/>
        <w:contextualSpacing w:val="0"/>
        <w:rPr>
          <w:rFonts w:asciiTheme="majorHAnsi" w:hAnsiTheme="majorHAnsi"/>
          <w:sz w:val="22"/>
          <w:szCs w:val="22"/>
        </w:rPr>
      </w:pPr>
      <w:r w:rsidRPr="0072740F">
        <w:rPr>
          <w:rFonts w:asciiTheme="majorHAnsi" w:hAnsiTheme="majorHAnsi"/>
          <w:sz w:val="22"/>
          <w:szCs w:val="22"/>
        </w:rPr>
        <w:t>Establishing the Association as factor in around 10 additional tenements</w:t>
      </w:r>
    </w:p>
    <w:p w:rsidR="00E74C15" w:rsidRDefault="00E74C15" w:rsidP="00E74C15">
      <w:pPr>
        <w:spacing w:before="240" w:after="80" w:line="276" w:lineRule="auto"/>
        <w:rPr>
          <w:rFonts w:asciiTheme="majorHAnsi" w:hAnsiTheme="majorHAnsi" w:cs="Arial"/>
          <w:bCs/>
          <w:sz w:val="22"/>
          <w:szCs w:val="22"/>
        </w:rPr>
      </w:pPr>
      <w:r>
        <w:rPr>
          <w:rFonts w:asciiTheme="majorHAnsi" w:hAnsiTheme="majorHAnsi" w:cs="Arial"/>
          <w:bCs/>
          <w:sz w:val="22"/>
          <w:szCs w:val="22"/>
        </w:rPr>
        <w:t xml:space="preserve">During 2018/19, the Association was successful in obtaining a review of the terms and conditions of funding and scope of works with Glasgow City Council and the Scottish Government, resulting in a more positive and strategic progression of the </w:t>
      </w:r>
      <w:proofErr w:type="gramStart"/>
      <w:r>
        <w:rPr>
          <w:rFonts w:asciiTheme="majorHAnsi" w:hAnsiTheme="majorHAnsi" w:cs="Arial"/>
          <w:bCs/>
          <w:sz w:val="22"/>
          <w:szCs w:val="22"/>
        </w:rPr>
        <w:t>4 year</w:t>
      </w:r>
      <w:proofErr w:type="gramEnd"/>
      <w:r>
        <w:rPr>
          <w:rFonts w:asciiTheme="majorHAnsi" w:hAnsiTheme="majorHAnsi" w:cs="Arial"/>
          <w:bCs/>
          <w:sz w:val="22"/>
          <w:szCs w:val="22"/>
        </w:rPr>
        <w:t xml:space="preserve"> programme. The Association can now confidently proceed with future property acquisitions and work contracts having addressed this key risk area. </w:t>
      </w:r>
    </w:p>
    <w:p w:rsidR="00E74C15" w:rsidRDefault="00E74C15" w:rsidP="00E74C15">
      <w:pPr>
        <w:spacing w:before="240" w:after="80" w:line="276" w:lineRule="auto"/>
        <w:rPr>
          <w:rFonts w:asciiTheme="majorHAnsi" w:hAnsiTheme="majorHAnsi" w:cs="Arial"/>
          <w:bCs/>
          <w:sz w:val="22"/>
          <w:szCs w:val="22"/>
        </w:rPr>
      </w:pPr>
    </w:p>
    <w:p w:rsidR="00E74C15" w:rsidRPr="0072740F" w:rsidRDefault="00E74C15" w:rsidP="00E74C15">
      <w:pPr>
        <w:spacing w:before="240" w:after="80" w:line="276" w:lineRule="auto"/>
        <w:rPr>
          <w:rFonts w:asciiTheme="majorHAnsi" w:hAnsiTheme="majorHAnsi" w:cs="Arial"/>
          <w:b/>
          <w:color w:val="000090"/>
        </w:rPr>
      </w:pPr>
      <w:r w:rsidRPr="0072740F">
        <w:rPr>
          <w:rFonts w:asciiTheme="majorHAnsi" w:hAnsiTheme="majorHAnsi" w:cs="Arial"/>
          <w:b/>
          <w:color w:val="000090"/>
        </w:rPr>
        <w:lastRenderedPageBreak/>
        <w:t>Value for Money and Rent Levels</w:t>
      </w:r>
    </w:p>
    <w:p w:rsidR="00E74C15" w:rsidRPr="0072740F" w:rsidRDefault="00E74C15" w:rsidP="00E74C15">
      <w:pPr>
        <w:spacing w:after="120" w:line="276" w:lineRule="auto"/>
        <w:rPr>
          <w:rFonts w:asciiTheme="majorHAnsi" w:hAnsiTheme="majorHAnsi" w:cs="Arial"/>
          <w:sz w:val="22"/>
          <w:szCs w:val="22"/>
        </w:rPr>
      </w:pPr>
      <w:r w:rsidRPr="0072740F">
        <w:rPr>
          <w:rFonts w:asciiTheme="majorHAnsi" w:hAnsiTheme="majorHAnsi" w:cs="Arial"/>
          <w:sz w:val="22"/>
          <w:szCs w:val="22"/>
        </w:rPr>
        <w:t xml:space="preserve">In our recent Customer Satisfaction Survey, 84% of respondents said that </w:t>
      </w:r>
      <w:proofErr w:type="spellStart"/>
      <w:r w:rsidRPr="0072740F">
        <w:rPr>
          <w:rFonts w:asciiTheme="majorHAnsi" w:hAnsiTheme="majorHAnsi" w:cs="Arial"/>
          <w:sz w:val="22"/>
          <w:szCs w:val="22"/>
        </w:rPr>
        <w:t>GhHA’s</w:t>
      </w:r>
      <w:proofErr w:type="spellEnd"/>
      <w:r w:rsidRPr="0072740F">
        <w:rPr>
          <w:rFonts w:asciiTheme="majorHAnsi" w:hAnsiTheme="majorHAnsi" w:cs="Arial"/>
          <w:sz w:val="22"/>
          <w:szCs w:val="22"/>
        </w:rPr>
        <w:t xml:space="preserve"> rents represented good value for money.  This is a 25% increase since 2015.</w:t>
      </w:r>
    </w:p>
    <w:p w:rsidR="00E74C15" w:rsidRPr="0072740F" w:rsidRDefault="00E74C15" w:rsidP="00E74C15">
      <w:pPr>
        <w:spacing w:after="120" w:line="276" w:lineRule="auto"/>
        <w:rPr>
          <w:rFonts w:asciiTheme="majorHAnsi" w:hAnsiTheme="majorHAnsi" w:cs="Arial"/>
          <w:sz w:val="22"/>
          <w:szCs w:val="22"/>
        </w:rPr>
      </w:pPr>
      <w:r w:rsidRPr="0072740F">
        <w:rPr>
          <w:rFonts w:asciiTheme="majorHAnsi" w:hAnsiTheme="majorHAnsi" w:cs="Arial"/>
          <w:sz w:val="22"/>
          <w:szCs w:val="22"/>
        </w:rPr>
        <w:t xml:space="preserve">At the same time, the Management Committee is aware that </w:t>
      </w:r>
      <w:proofErr w:type="spellStart"/>
      <w:r w:rsidRPr="0072740F">
        <w:rPr>
          <w:rFonts w:asciiTheme="majorHAnsi" w:hAnsiTheme="majorHAnsi" w:cs="Arial"/>
          <w:sz w:val="22"/>
          <w:szCs w:val="22"/>
        </w:rPr>
        <w:t>GhHA</w:t>
      </w:r>
      <w:proofErr w:type="spellEnd"/>
      <w:r w:rsidRPr="0072740F">
        <w:rPr>
          <w:rFonts w:asciiTheme="majorHAnsi" w:hAnsiTheme="majorHAnsi" w:cs="Arial"/>
          <w:sz w:val="22"/>
          <w:szCs w:val="22"/>
        </w:rPr>
        <w:t xml:space="preserve"> rents are relatively high compared with other social landlords. The reasons are mainly to do with the age of much of our housing stock, and the need for a steady injection of cash each year to bring tenants’ homes up to present-day standards.</w:t>
      </w:r>
    </w:p>
    <w:p w:rsidR="00E74C15" w:rsidRDefault="00E74C15" w:rsidP="00E74C15">
      <w:pPr>
        <w:spacing w:after="120" w:line="276" w:lineRule="auto"/>
        <w:rPr>
          <w:rFonts w:asciiTheme="majorHAnsi" w:hAnsiTheme="majorHAnsi" w:cs="Arial"/>
          <w:sz w:val="22"/>
          <w:szCs w:val="22"/>
        </w:rPr>
      </w:pPr>
      <w:r w:rsidRPr="00E20A86">
        <w:rPr>
          <w:rFonts w:asciiTheme="majorHAnsi" w:hAnsiTheme="majorHAnsi" w:cs="Arial"/>
          <w:sz w:val="22"/>
          <w:szCs w:val="22"/>
        </w:rPr>
        <w:t xml:space="preserve">The Business Plan is based on a </w:t>
      </w:r>
      <w:r>
        <w:rPr>
          <w:rFonts w:asciiTheme="majorHAnsi" w:hAnsiTheme="majorHAnsi" w:cs="Arial"/>
          <w:sz w:val="22"/>
          <w:szCs w:val="22"/>
        </w:rPr>
        <w:t xml:space="preserve">policy of annual </w:t>
      </w:r>
      <w:r w:rsidRPr="00E20A86">
        <w:rPr>
          <w:rFonts w:asciiTheme="majorHAnsi" w:hAnsiTheme="majorHAnsi" w:cs="Arial"/>
          <w:sz w:val="22"/>
          <w:szCs w:val="22"/>
        </w:rPr>
        <w:t>rent increase</w:t>
      </w:r>
      <w:r>
        <w:rPr>
          <w:rFonts w:asciiTheme="majorHAnsi" w:hAnsiTheme="majorHAnsi" w:cs="Arial"/>
          <w:sz w:val="22"/>
          <w:szCs w:val="22"/>
        </w:rPr>
        <w:t>s</w:t>
      </w:r>
      <w:r w:rsidRPr="00E20A86">
        <w:rPr>
          <w:rFonts w:asciiTheme="majorHAnsi" w:hAnsiTheme="majorHAnsi" w:cs="Arial"/>
          <w:sz w:val="22"/>
          <w:szCs w:val="22"/>
        </w:rPr>
        <w:t xml:space="preserve"> of inflation (Consumer Price Index) plus 1%</w:t>
      </w:r>
      <w:r w:rsidRPr="005957E7">
        <w:rPr>
          <w:rFonts w:asciiTheme="majorHAnsi" w:hAnsiTheme="majorHAnsi" w:cs="Arial"/>
          <w:sz w:val="22"/>
          <w:szCs w:val="22"/>
        </w:rPr>
        <w:t>, apart from 2019/2020 which has been restricted to a CPI-only increase on the understanding that this will delay some of the home improvements planned in our major repairs expenditure</w:t>
      </w:r>
      <w:r w:rsidRPr="00E20A86">
        <w:rPr>
          <w:rFonts w:asciiTheme="majorHAnsi" w:hAnsiTheme="majorHAnsi" w:cs="Arial"/>
          <w:sz w:val="22"/>
          <w:szCs w:val="22"/>
        </w:rPr>
        <w:t xml:space="preserve">.  </w:t>
      </w:r>
    </w:p>
    <w:p w:rsidR="00E74C15" w:rsidRPr="00E20A86" w:rsidRDefault="00E74C15" w:rsidP="00E74C15">
      <w:pPr>
        <w:spacing w:after="120" w:line="276" w:lineRule="auto"/>
        <w:rPr>
          <w:rFonts w:asciiTheme="majorHAnsi" w:hAnsiTheme="majorHAnsi" w:cs="Arial"/>
          <w:sz w:val="22"/>
          <w:szCs w:val="22"/>
        </w:rPr>
      </w:pPr>
      <w:proofErr w:type="spellStart"/>
      <w:r w:rsidRPr="00E20A86">
        <w:rPr>
          <w:rFonts w:asciiTheme="majorHAnsi" w:hAnsiTheme="majorHAnsi" w:cs="Arial"/>
          <w:sz w:val="22"/>
          <w:szCs w:val="22"/>
        </w:rPr>
        <w:t>GhHA</w:t>
      </w:r>
      <w:proofErr w:type="spellEnd"/>
      <w:r w:rsidRPr="00E20A86">
        <w:rPr>
          <w:rFonts w:asciiTheme="majorHAnsi" w:hAnsiTheme="majorHAnsi" w:cs="Arial"/>
          <w:sz w:val="22"/>
          <w:szCs w:val="22"/>
        </w:rPr>
        <w:t xml:space="preserve"> has examined the feasibility of “inflation only” increases, but this is not possible as a long-term policy for several reasons:</w:t>
      </w:r>
    </w:p>
    <w:p w:rsidR="00E74C15" w:rsidRPr="00E20A86" w:rsidRDefault="00E74C15" w:rsidP="00E74C15">
      <w:pPr>
        <w:pStyle w:val="ListParagraph"/>
        <w:numPr>
          <w:ilvl w:val="0"/>
          <w:numId w:val="4"/>
        </w:numPr>
        <w:spacing w:line="276" w:lineRule="auto"/>
        <w:ind w:left="357" w:hanging="357"/>
        <w:contextualSpacing w:val="0"/>
        <w:rPr>
          <w:rFonts w:asciiTheme="majorHAnsi" w:hAnsiTheme="majorHAnsi"/>
          <w:sz w:val="22"/>
          <w:szCs w:val="22"/>
        </w:rPr>
      </w:pPr>
      <w:proofErr w:type="spellStart"/>
      <w:r w:rsidRPr="00E20A86">
        <w:rPr>
          <w:rFonts w:asciiTheme="majorHAnsi" w:hAnsiTheme="majorHAnsi"/>
          <w:sz w:val="22"/>
          <w:szCs w:val="22"/>
        </w:rPr>
        <w:t>GhHA’s</w:t>
      </w:r>
      <w:proofErr w:type="spellEnd"/>
      <w:r w:rsidRPr="00E20A86">
        <w:rPr>
          <w:rFonts w:asciiTheme="majorHAnsi" w:hAnsiTheme="majorHAnsi"/>
          <w:sz w:val="22"/>
          <w:szCs w:val="22"/>
        </w:rPr>
        <w:t xml:space="preserve"> cashflows would be negative </w:t>
      </w:r>
      <w:r w:rsidRPr="005957E7">
        <w:rPr>
          <w:rFonts w:asciiTheme="majorHAnsi" w:hAnsiTheme="majorHAnsi"/>
          <w:sz w:val="22"/>
          <w:szCs w:val="22"/>
        </w:rPr>
        <w:t>every year</w:t>
      </w:r>
      <w:r w:rsidRPr="00E20A86">
        <w:rPr>
          <w:rFonts w:asciiTheme="majorHAnsi" w:hAnsiTheme="majorHAnsi"/>
          <w:sz w:val="22"/>
          <w:szCs w:val="22"/>
        </w:rPr>
        <w:t>, with a cumulative deficit of £</w:t>
      </w:r>
      <w:r w:rsidRPr="005957E7">
        <w:rPr>
          <w:rFonts w:asciiTheme="majorHAnsi" w:hAnsiTheme="majorHAnsi"/>
          <w:sz w:val="22"/>
          <w:szCs w:val="22"/>
        </w:rPr>
        <w:t>19.7</w:t>
      </w:r>
      <w:r w:rsidRPr="00E20A86">
        <w:rPr>
          <w:rFonts w:asciiTheme="majorHAnsi" w:hAnsiTheme="majorHAnsi"/>
          <w:sz w:val="22"/>
          <w:szCs w:val="22"/>
        </w:rPr>
        <w:t xml:space="preserve"> million by year 30</w:t>
      </w:r>
    </w:p>
    <w:p w:rsidR="00E74C15" w:rsidRPr="00E20A86" w:rsidRDefault="00E74C15" w:rsidP="00E74C15">
      <w:pPr>
        <w:pStyle w:val="ListParagraph"/>
        <w:keepNext/>
        <w:keepLines/>
        <w:numPr>
          <w:ilvl w:val="0"/>
          <w:numId w:val="4"/>
        </w:numPr>
        <w:spacing w:before="200" w:line="276" w:lineRule="auto"/>
        <w:ind w:left="357" w:hanging="357"/>
        <w:contextualSpacing w:val="0"/>
        <w:outlineLvl w:val="2"/>
        <w:rPr>
          <w:rFonts w:asciiTheme="majorHAnsi" w:hAnsiTheme="majorHAnsi"/>
          <w:sz w:val="22"/>
          <w:szCs w:val="22"/>
        </w:rPr>
      </w:pPr>
      <w:r w:rsidRPr="00E20A86">
        <w:rPr>
          <w:rFonts w:asciiTheme="majorHAnsi" w:hAnsiTheme="majorHAnsi"/>
          <w:sz w:val="22"/>
          <w:szCs w:val="22"/>
        </w:rPr>
        <w:t>We would need to borrow more to address this, and this would fail to meet lending covenants</w:t>
      </w:r>
    </w:p>
    <w:p w:rsidR="00E74C15" w:rsidRPr="00E20A86" w:rsidRDefault="00E74C15" w:rsidP="00E74C15">
      <w:pPr>
        <w:pStyle w:val="ListParagraph"/>
        <w:keepNext/>
        <w:keepLines/>
        <w:numPr>
          <w:ilvl w:val="0"/>
          <w:numId w:val="4"/>
        </w:numPr>
        <w:spacing w:before="200" w:after="120" w:line="276" w:lineRule="auto"/>
        <w:ind w:left="357" w:hanging="357"/>
        <w:contextualSpacing w:val="0"/>
        <w:outlineLvl w:val="2"/>
        <w:rPr>
          <w:rFonts w:asciiTheme="majorHAnsi" w:hAnsiTheme="majorHAnsi" w:cs="Arial"/>
          <w:sz w:val="22"/>
          <w:szCs w:val="22"/>
        </w:rPr>
      </w:pPr>
      <w:r w:rsidRPr="00E20A86">
        <w:rPr>
          <w:rFonts w:asciiTheme="majorHAnsi" w:hAnsiTheme="majorHAnsi"/>
          <w:sz w:val="22"/>
          <w:szCs w:val="22"/>
        </w:rPr>
        <w:t>Major repairs spending would be unsustainable at current levels (£</w:t>
      </w:r>
      <w:r w:rsidRPr="005957E7">
        <w:rPr>
          <w:rFonts w:asciiTheme="majorHAnsi" w:hAnsiTheme="majorHAnsi"/>
          <w:sz w:val="22"/>
          <w:szCs w:val="22"/>
        </w:rPr>
        <w:t>2.8</w:t>
      </w:r>
      <w:r w:rsidRPr="00E20A86">
        <w:rPr>
          <w:rFonts w:asciiTheme="majorHAnsi" w:hAnsiTheme="majorHAnsi"/>
          <w:sz w:val="22"/>
          <w:szCs w:val="22"/>
        </w:rPr>
        <w:t xml:space="preserve"> million per annum).</w:t>
      </w:r>
    </w:p>
    <w:p w:rsidR="00E74C15" w:rsidRPr="00F75916" w:rsidRDefault="00E74C15" w:rsidP="00E74C15">
      <w:pPr>
        <w:spacing w:before="240" w:after="120" w:line="276" w:lineRule="auto"/>
        <w:rPr>
          <w:rFonts w:asciiTheme="majorHAnsi" w:hAnsiTheme="majorHAnsi" w:cs="Arial"/>
          <w:sz w:val="22"/>
          <w:szCs w:val="22"/>
        </w:rPr>
      </w:pPr>
      <w:r w:rsidRPr="00E20A86">
        <w:rPr>
          <w:rFonts w:asciiTheme="majorHAnsi" w:hAnsiTheme="majorHAnsi" w:cs="Arial"/>
          <w:sz w:val="22"/>
          <w:szCs w:val="22"/>
        </w:rPr>
        <w:t xml:space="preserve">The Management Committee has been able to approve “inflation only” rent increases in each of the last </w:t>
      </w:r>
      <w:r w:rsidRPr="005957E7">
        <w:rPr>
          <w:rFonts w:asciiTheme="majorHAnsi" w:hAnsiTheme="majorHAnsi" w:cs="Arial"/>
          <w:sz w:val="22"/>
          <w:szCs w:val="22"/>
        </w:rPr>
        <w:t>three</w:t>
      </w:r>
      <w:r w:rsidRPr="00E20A86">
        <w:rPr>
          <w:rFonts w:asciiTheme="majorHAnsi" w:hAnsiTheme="majorHAnsi" w:cs="Arial"/>
          <w:sz w:val="22"/>
          <w:szCs w:val="22"/>
        </w:rPr>
        <w:t xml:space="preserve"> years and it will continue to look carefully at what can be achieved on a year-to-year basis.  We </w:t>
      </w:r>
      <w:r w:rsidRPr="005957E7">
        <w:rPr>
          <w:rFonts w:asciiTheme="majorHAnsi" w:hAnsiTheme="majorHAnsi" w:cs="Arial"/>
          <w:sz w:val="22"/>
          <w:szCs w:val="22"/>
        </w:rPr>
        <w:t xml:space="preserve">are </w:t>
      </w:r>
      <w:r w:rsidRPr="00E20A86">
        <w:rPr>
          <w:rFonts w:asciiTheme="majorHAnsi" w:hAnsiTheme="majorHAnsi" w:cs="Arial"/>
          <w:sz w:val="22"/>
          <w:szCs w:val="22"/>
        </w:rPr>
        <w:t>also conduct</w:t>
      </w:r>
      <w:r w:rsidRPr="005957E7">
        <w:rPr>
          <w:rFonts w:asciiTheme="majorHAnsi" w:hAnsiTheme="majorHAnsi" w:cs="Arial"/>
          <w:sz w:val="22"/>
          <w:szCs w:val="22"/>
        </w:rPr>
        <w:t>ing</w:t>
      </w:r>
      <w:r w:rsidRPr="00E20A86">
        <w:rPr>
          <w:rFonts w:asciiTheme="majorHAnsi" w:hAnsiTheme="majorHAnsi" w:cs="Arial"/>
          <w:sz w:val="22"/>
          <w:szCs w:val="22"/>
        </w:rPr>
        <w:t xml:space="preserve"> a review of our rent policy and structure</w:t>
      </w:r>
      <w:r>
        <w:rPr>
          <w:rFonts w:asciiTheme="majorHAnsi" w:hAnsiTheme="majorHAnsi" w:cs="Arial"/>
          <w:sz w:val="22"/>
          <w:szCs w:val="22"/>
        </w:rPr>
        <w:t xml:space="preserve"> during 2019/20</w:t>
      </w:r>
      <w:r w:rsidRPr="00E20A86">
        <w:rPr>
          <w:rFonts w:asciiTheme="majorHAnsi" w:hAnsiTheme="majorHAnsi" w:cs="Arial"/>
          <w:sz w:val="22"/>
          <w:szCs w:val="22"/>
        </w:rPr>
        <w:t>.</w:t>
      </w:r>
      <w:r>
        <w:rPr>
          <w:rFonts w:asciiTheme="majorHAnsi" w:hAnsiTheme="majorHAnsi" w:cs="Arial"/>
          <w:sz w:val="22"/>
          <w:szCs w:val="22"/>
        </w:rPr>
        <w:t xml:space="preserve">  This will seek to harmonise our rent levels for similar accommodation, improve transparency and fairness, and address affordability pressure points.</w:t>
      </w:r>
    </w:p>
    <w:p w:rsidR="00E74C15" w:rsidRPr="0072740F" w:rsidRDefault="00E74C15" w:rsidP="00E74C15">
      <w:pPr>
        <w:spacing w:before="240" w:after="80" w:line="276" w:lineRule="auto"/>
        <w:rPr>
          <w:rFonts w:asciiTheme="majorHAnsi" w:hAnsiTheme="majorHAnsi" w:cs="Arial"/>
          <w:b/>
          <w:color w:val="000090"/>
        </w:rPr>
      </w:pPr>
      <w:r w:rsidRPr="0072740F">
        <w:rPr>
          <w:rFonts w:asciiTheme="majorHAnsi" w:hAnsiTheme="majorHAnsi" w:cs="Arial"/>
          <w:b/>
          <w:color w:val="000090"/>
        </w:rPr>
        <w:t>Tackling poverty and inequality</w:t>
      </w:r>
    </w:p>
    <w:p w:rsidR="00E74C15" w:rsidRPr="0072740F" w:rsidRDefault="00E74C15" w:rsidP="00E74C15">
      <w:pPr>
        <w:spacing w:after="200" w:line="276" w:lineRule="auto"/>
        <w:rPr>
          <w:rFonts w:asciiTheme="majorHAnsi" w:hAnsiTheme="majorHAnsi" w:cs="Arial"/>
          <w:sz w:val="22"/>
          <w:szCs w:val="22"/>
        </w:rPr>
      </w:pPr>
      <w:proofErr w:type="spellStart"/>
      <w:r w:rsidRPr="0072740F">
        <w:rPr>
          <w:rFonts w:asciiTheme="majorHAnsi" w:hAnsiTheme="majorHAnsi" w:cs="Arial"/>
          <w:sz w:val="22"/>
          <w:szCs w:val="22"/>
        </w:rPr>
        <w:t>GhHA’s</w:t>
      </w:r>
      <w:proofErr w:type="spellEnd"/>
      <w:r w:rsidRPr="0072740F">
        <w:rPr>
          <w:rFonts w:asciiTheme="majorHAnsi" w:hAnsiTheme="majorHAnsi" w:cs="Arial"/>
          <w:sz w:val="22"/>
          <w:szCs w:val="22"/>
        </w:rPr>
        <w:t xml:space="preserve"> work will have a strong anti-poverty focus, through our own welfare rights and financial advice services, the tenancy information and support services we are providing in South West Govanhill, and the wide range of community development and support services carried out by GCDT.  This work will continue to be a high priority during the Business Plan period.</w:t>
      </w:r>
      <w:r>
        <w:rPr>
          <w:rFonts w:asciiTheme="majorHAnsi" w:hAnsiTheme="majorHAnsi" w:cs="Arial"/>
          <w:sz w:val="22"/>
          <w:szCs w:val="22"/>
        </w:rPr>
        <w:t xml:space="preserve">  Our designation as community anchor organisation for the Govanhill Thriving Place initiative provides a welcome opportunity for the Association.</w:t>
      </w:r>
    </w:p>
    <w:p w:rsidR="00E74C15" w:rsidRPr="0072740F" w:rsidRDefault="00E74C15" w:rsidP="00E74C15">
      <w:pPr>
        <w:pStyle w:val="Heading2"/>
        <w:keepNext w:val="0"/>
        <w:keepLines/>
        <w:widowControl w:val="0"/>
        <w:overflowPunct w:val="0"/>
        <w:autoSpaceDE w:val="0"/>
        <w:autoSpaceDN w:val="0"/>
        <w:adjustRightInd w:val="0"/>
        <w:spacing w:before="0" w:after="80"/>
        <w:ind w:left="0"/>
        <w:textAlignment w:val="baseline"/>
        <w:rPr>
          <w:rFonts w:asciiTheme="majorHAnsi" w:hAnsiTheme="majorHAnsi"/>
          <w:color w:val="000090"/>
        </w:rPr>
      </w:pPr>
      <w:r w:rsidRPr="0072740F">
        <w:rPr>
          <w:rFonts w:asciiTheme="majorHAnsi" w:hAnsiTheme="majorHAnsi"/>
          <w:color w:val="000090"/>
        </w:rPr>
        <w:t xml:space="preserve">Governance of </w:t>
      </w:r>
      <w:proofErr w:type="spellStart"/>
      <w:r w:rsidRPr="0072740F">
        <w:rPr>
          <w:rFonts w:asciiTheme="majorHAnsi" w:hAnsiTheme="majorHAnsi"/>
          <w:color w:val="000090"/>
        </w:rPr>
        <w:t>GhHA</w:t>
      </w:r>
      <w:proofErr w:type="spellEnd"/>
    </w:p>
    <w:p w:rsidR="00E74C15" w:rsidRDefault="00E74C15" w:rsidP="00E74C15">
      <w:pPr>
        <w:pStyle w:val="Heading2"/>
        <w:keepNext w:val="0"/>
        <w:keepLines/>
        <w:widowControl w:val="0"/>
        <w:overflowPunct w:val="0"/>
        <w:autoSpaceDE w:val="0"/>
        <w:autoSpaceDN w:val="0"/>
        <w:adjustRightInd w:val="0"/>
        <w:spacing w:before="0" w:after="240" w:line="276" w:lineRule="auto"/>
        <w:ind w:left="0"/>
        <w:textAlignment w:val="baseline"/>
        <w:rPr>
          <w:rFonts w:asciiTheme="majorHAnsi" w:hAnsiTheme="majorHAnsi"/>
          <w:b w:val="0"/>
          <w:bCs w:val="0"/>
          <w:sz w:val="22"/>
          <w:szCs w:val="22"/>
        </w:rPr>
      </w:pPr>
      <w:r w:rsidRPr="0072740F">
        <w:rPr>
          <w:rFonts w:asciiTheme="majorHAnsi" w:hAnsiTheme="majorHAnsi"/>
          <w:b w:val="0"/>
          <w:bCs w:val="0"/>
          <w:sz w:val="22"/>
          <w:szCs w:val="22"/>
        </w:rPr>
        <w:t>Following a recent governance review, we will implement the priorities set out in the accompanying Governance Development Plan.  We will ensure that the Management Committee has a strong blend of skills and experience, and we will seek to attract more tenants and more people from ethnic minorities to serve on the Committee.</w:t>
      </w:r>
      <w:r>
        <w:rPr>
          <w:rFonts w:asciiTheme="majorHAnsi" w:hAnsiTheme="majorHAnsi"/>
          <w:b w:val="0"/>
          <w:bCs w:val="0"/>
          <w:sz w:val="22"/>
          <w:szCs w:val="22"/>
        </w:rPr>
        <w:t xml:space="preserve">  Learning and development and succession planning will both be high priorities for the Management Committee.  Consistent with the new Regulatory Framework for registered social landlords, we will also review and develop our approach to </w:t>
      </w:r>
      <w:proofErr w:type="spellStart"/>
      <w:r>
        <w:rPr>
          <w:rFonts w:asciiTheme="majorHAnsi" w:hAnsiTheme="majorHAnsi"/>
          <w:b w:val="0"/>
          <w:bCs w:val="0"/>
          <w:sz w:val="22"/>
          <w:szCs w:val="22"/>
        </w:rPr>
        <w:t>self assurance</w:t>
      </w:r>
      <w:proofErr w:type="spellEnd"/>
      <w:r>
        <w:rPr>
          <w:rFonts w:asciiTheme="majorHAnsi" w:hAnsiTheme="majorHAnsi"/>
          <w:b w:val="0"/>
          <w:bCs w:val="0"/>
          <w:sz w:val="22"/>
          <w:szCs w:val="22"/>
        </w:rPr>
        <w:t>.</w:t>
      </w:r>
    </w:p>
    <w:p w:rsidR="00E74C15" w:rsidRPr="00E74C15" w:rsidRDefault="00E74C15" w:rsidP="00E74C15">
      <w:bookmarkStart w:id="0" w:name="_GoBack"/>
      <w:bookmarkEnd w:id="0"/>
    </w:p>
    <w:p w:rsidR="00E74C15" w:rsidRPr="0072740F" w:rsidRDefault="00E74C15" w:rsidP="00E74C15">
      <w:pPr>
        <w:widowControl w:val="0"/>
        <w:overflowPunct w:val="0"/>
        <w:autoSpaceDE w:val="0"/>
        <w:autoSpaceDN w:val="0"/>
        <w:adjustRightInd w:val="0"/>
        <w:spacing w:after="80" w:line="276" w:lineRule="auto"/>
        <w:textAlignment w:val="baseline"/>
        <w:rPr>
          <w:rFonts w:asciiTheme="majorHAnsi" w:hAnsiTheme="majorHAnsi" w:cs="Arial"/>
          <w:b/>
          <w:color w:val="000090"/>
          <w:kern w:val="28"/>
        </w:rPr>
      </w:pPr>
      <w:r w:rsidRPr="0072740F">
        <w:rPr>
          <w:rFonts w:asciiTheme="majorHAnsi" w:hAnsiTheme="majorHAnsi" w:cs="Arial"/>
          <w:b/>
          <w:color w:val="000090"/>
          <w:kern w:val="28"/>
        </w:rPr>
        <w:lastRenderedPageBreak/>
        <w:t>Financial Management</w:t>
      </w:r>
    </w:p>
    <w:p w:rsidR="00E74C15" w:rsidRPr="0072740F" w:rsidRDefault="00E74C15" w:rsidP="00E74C15">
      <w:pPr>
        <w:widowControl w:val="0"/>
        <w:overflowPunct w:val="0"/>
        <w:autoSpaceDE w:val="0"/>
        <w:autoSpaceDN w:val="0"/>
        <w:adjustRightInd w:val="0"/>
        <w:spacing w:line="276" w:lineRule="auto"/>
        <w:contextualSpacing/>
        <w:textAlignment w:val="baseline"/>
        <w:rPr>
          <w:rFonts w:asciiTheme="majorHAnsi" w:hAnsiTheme="majorHAnsi" w:cs="Arial"/>
          <w:kern w:val="28"/>
          <w:sz w:val="22"/>
          <w:szCs w:val="22"/>
        </w:rPr>
      </w:pPr>
      <w:r w:rsidRPr="0072740F">
        <w:rPr>
          <w:rFonts w:asciiTheme="majorHAnsi" w:hAnsiTheme="majorHAnsi" w:cs="Arial"/>
          <w:kern w:val="28"/>
          <w:sz w:val="22"/>
          <w:szCs w:val="22"/>
        </w:rPr>
        <w:t xml:space="preserve">The Business Plan demonstrates that, with close monitoring and careful management, the Association has the financial resources needed to deliver its strategy; will be financially viable over the next 30 years; and will be able to meet its loan covenants.   </w:t>
      </w:r>
    </w:p>
    <w:p w:rsidR="00E74C15" w:rsidRPr="0072740F" w:rsidRDefault="00E74C15" w:rsidP="00E74C15">
      <w:pPr>
        <w:widowControl w:val="0"/>
        <w:overflowPunct w:val="0"/>
        <w:autoSpaceDE w:val="0"/>
        <w:autoSpaceDN w:val="0"/>
        <w:adjustRightInd w:val="0"/>
        <w:spacing w:line="276" w:lineRule="auto"/>
        <w:contextualSpacing/>
        <w:textAlignment w:val="baseline"/>
        <w:rPr>
          <w:rFonts w:asciiTheme="majorHAnsi" w:hAnsiTheme="majorHAnsi" w:cs="Arial"/>
          <w:kern w:val="28"/>
          <w:sz w:val="22"/>
          <w:szCs w:val="22"/>
        </w:rPr>
      </w:pPr>
    </w:p>
    <w:p w:rsidR="00E74C15" w:rsidRPr="00F75916" w:rsidRDefault="00E74C15" w:rsidP="00E74C15">
      <w:pPr>
        <w:widowControl w:val="0"/>
        <w:overflowPunct w:val="0"/>
        <w:autoSpaceDE w:val="0"/>
        <w:autoSpaceDN w:val="0"/>
        <w:adjustRightInd w:val="0"/>
        <w:spacing w:line="276" w:lineRule="auto"/>
        <w:contextualSpacing/>
        <w:textAlignment w:val="baseline"/>
        <w:rPr>
          <w:rFonts w:asciiTheme="majorHAnsi" w:hAnsiTheme="majorHAnsi"/>
          <w:sz w:val="22"/>
          <w:szCs w:val="22"/>
        </w:rPr>
      </w:pPr>
      <w:r w:rsidRPr="009E3AC7">
        <w:rPr>
          <w:rFonts w:asciiTheme="majorHAnsi" w:hAnsiTheme="majorHAnsi" w:cs="Arial"/>
          <w:kern w:val="28"/>
          <w:sz w:val="22"/>
          <w:szCs w:val="22"/>
        </w:rPr>
        <w:t>Our ambitious programme of investment in major repairs, South West Govanhill and new developments means that annual</w:t>
      </w:r>
      <w:r w:rsidRPr="009E3AC7">
        <w:rPr>
          <w:rFonts w:asciiTheme="majorHAnsi" w:hAnsiTheme="majorHAnsi"/>
          <w:sz w:val="22"/>
          <w:szCs w:val="22"/>
        </w:rPr>
        <w:t xml:space="preserve"> cash flows are projected to be negative until </w:t>
      </w:r>
      <w:proofErr w:type="gramStart"/>
      <w:r w:rsidRPr="009E3AC7">
        <w:rPr>
          <w:rFonts w:asciiTheme="majorHAnsi" w:hAnsiTheme="majorHAnsi"/>
          <w:sz w:val="22"/>
          <w:szCs w:val="22"/>
        </w:rPr>
        <w:t>2022/2023, and</w:t>
      </w:r>
      <w:proofErr w:type="gramEnd"/>
      <w:r w:rsidRPr="009E3AC7">
        <w:rPr>
          <w:rFonts w:asciiTheme="majorHAnsi" w:hAnsiTheme="majorHAnsi"/>
          <w:sz w:val="22"/>
          <w:szCs w:val="22"/>
        </w:rPr>
        <w:t xml:space="preserve"> will then become mainly positive for the remainder of the 30-year projections.  The cashflows have also been tested to take account of a range of future scenarios, some internal to Govanhill and some that reflect external risks and uncertainties such as increases in inflation and interest rates.</w:t>
      </w:r>
      <w:r w:rsidRPr="00F75916">
        <w:rPr>
          <w:rFonts w:asciiTheme="majorHAnsi" w:hAnsiTheme="majorHAnsi"/>
          <w:sz w:val="22"/>
          <w:szCs w:val="22"/>
        </w:rPr>
        <w:t xml:space="preserve">  </w:t>
      </w:r>
    </w:p>
    <w:p w:rsidR="00E74C15" w:rsidRPr="0072740F" w:rsidRDefault="00E74C15" w:rsidP="00E74C15">
      <w:pPr>
        <w:widowControl w:val="0"/>
        <w:overflowPunct w:val="0"/>
        <w:autoSpaceDE w:val="0"/>
        <w:autoSpaceDN w:val="0"/>
        <w:adjustRightInd w:val="0"/>
        <w:spacing w:line="276" w:lineRule="auto"/>
        <w:contextualSpacing/>
        <w:textAlignment w:val="baseline"/>
        <w:rPr>
          <w:rFonts w:asciiTheme="majorHAnsi" w:hAnsiTheme="majorHAnsi"/>
          <w:sz w:val="22"/>
          <w:szCs w:val="22"/>
        </w:rPr>
      </w:pPr>
    </w:p>
    <w:p w:rsidR="00E74C15" w:rsidRPr="0072740F" w:rsidRDefault="00E74C15" w:rsidP="00E74C15">
      <w:pPr>
        <w:widowControl w:val="0"/>
        <w:overflowPunct w:val="0"/>
        <w:autoSpaceDE w:val="0"/>
        <w:autoSpaceDN w:val="0"/>
        <w:adjustRightInd w:val="0"/>
        <w:spacing w:line="276" w:lineRule="auto"/>
        <w:contextualSpacing/>
        <w:textAlignment w:val="baseline"/>
        <w:rPr>
          <w:rFonts w:asciiTheme="majorHAnsi" w:hAnsiTheme="majorHAnsi" w:cs="Arial"/>
          <w:sz w:val="22"/>
          <w:szCs w:val="22"/>
        </w:rPr>
      </w:pPr>
      <w:r w:rsidRPr="0072740F">
        <w:rPr>
          <w:rFonts w:asciiTheme="majorHAnsi" w:hAnsiTheme="majorHAnsi"/>
          <w:sz w:val="22"/>
          <w:szCs w:val="22"/>
        </w:rPr>
        <w:t>The Association secured £8.2 million in new loan funding in 2017 to support our investment programmes and the loan funding will be used to support the Association’s cashflows during the next two years while the investment programmes are at their peak.  Tight control of costs and income, p</w:t>
      </w:r>
      <w:r w:rsidRPr="0072740F">
        <w:rPr>
          <w:rFonts w:asciiTheme="majorHAnsi" w:hAnsiTheme="majorHAnsi" w:cs="Arial"/>
          <w:sz w:val="22"/>
          <w:szCs w:val="22"/>
        </w:rPr>
        <w:t>roactive risk management, strong financial controls and reporting, and maintaining the confidence of lenders will all be essential as we implement our strategy.</w:t>
      </w:r>
    </w:p>
    <w:p w:rsidR="00E74C15" w:rsidRPr="0072740F" w:rsidRDefault="00E74C15" w:rsidP="00E74C15">
      <w:pPr>
        <w:widowControl w:val="0"/>
        <w:overflowPunct w:val="0"/>
        <w:autoSpaceDE w:val="0"/>
        <w:autoSpaceDN w:val="0"/>
        <w:adjustRightInd w:val="0"/>
        <w:spacing w:line="276" w:lineRule="auto"/>
        <w:contextualSpacing/>
        <w:textAlignment w:val="baseline"/>
        <w:rPr>
          <w:rFonts w:asciiTheme="majorHAnsi" w:hAnsiTheme="majorHAnsi" w:cs="Arial"/>
          <w:sz w:val="22"/>
          <w:szCs w:val="22"/>
        </w:rPr>
      </w:pPr>
    </w:p>
    <w:p w:rsidR="00E74C15" w:rsidRPr="0072740F" w:rsidRDefault="00E74C15" w:rsidP="00E74C15">
      <w:pPr>
        <w:widowControl w:val="0"/>
        <w:overflowPunct w:val="0"/>
        <w:autoSpaceDE w:val="0"/>
        <w:autoSpaceDN w:val="0"/>
        <w:adjustRightInd w:val="0"/>
        <w:spacing w:line="276" w:lineRule="auto"/>
        <w:contextualSpacing/>
        <w:textAlignment w:val="baseline"/>
        <w:rPr>
          <w:rFonts w:asciiTheme="majorHAnsi" w:hAnsiTheme="majorHAnsi" w:cs="Arial"/>
          <w:b/>
          <w:bCs/>
          <w:color w:val="000090"/>
          <w:sz w:val="28"/>
          <w:szCs w:val="28"/>
        </w:rPr>
      </w:pPr>
      <w:r w:rsidRPr="00F75916">
        <w:rPr>
          <w:rFonts w:asciiTheme="majorHAnsi" w:hAnsiTheme="majorHAnsi" w:cs="Arial"/>
          <w:sz w:val="22"/>
          <w:szCs w:val="22"/>
        </w:rPr>
        <w:t>Maintaining the Association’s healthy financial position will depend on how we manage risks.  The key risks we have identified include the impact of Welfare Reform measures; the risks associated with the South West Govanhill investment programme; future trends in inflation and interest rates; void losses; the volatility of Govanhill’s housing market</w:t>
      </w:r>
      <w:r w:rsidRPr="0072740F">
        <w:rPr>
          <w:rFonts w:asciiTheme="majorHAnsi" w:hAnsiTheme="majorHAnsi" w:cs="Arial"/>
          <w:sz w:val="22"/>
          <w:szCs w:val="22"/>
        </w:rPr>
        <w:t>; and the uncertainty around the potential impact of Brexit on the Association, our client base and our maintenance contractors.  These factors, and our proposed responses, are addressed in the Business Plan.</w:t>
      </w:r>
    </w:p>
    <w:p w:rsidR="00517DF2" w:rsidRDefault="00517DF2"/>
    <w:sectPr w:rsidR="00517D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230E"/>
    <w:multiLevelType w:val="hybridMultilevel"/>
    <w:tmpl w:val="30C67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D44F22"/>
    <w:multiLevelType w:val="hybridMultilevel"/>
    <w:tmpl w:val="46FC8E4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F32DBE"/>
    <w:multiLevelType w:val="hybridMultilevel"/>
    <w:tmpl w:val="29BEA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6C7C57"/>
    <w:multiLevelType w:val="hybridMultilevel"/>
    <w:tmpl w:val="9E802A5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EA16E4"/>
    <w:multiLevelType w:val="hybridMultilevel"/>
    <w:tmpl w:val="A1E0B402"/>
    <w:lvl w:ilvl="0" w:tplc="B068F1D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262E6"/>
    <w:multiLevelType w:val="hybridMultilevel"/>
    <w:tmpl w:val="AAA4C21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A1C657F"/>
    <w:multiLevelType w:val="hybridMultilevel"/>
    <w:tmpl w:val="0D826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74C15"/>
    <w:rsid w:val="00517DF2"/>
    <w:rsid w:val="00E74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146CA"/>
  <w15:chartTrackingRefBased/>
  <w15:docId w15:val="{EA59828A-5C52-49B5-B361-B5B7BC5B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4C15"/>
    <w:pPr>
      <w:spacing w:after="0" w:line="240" w:lineRule="auto"/>
    </w:pPr>
    <w:rPr>
      <w:rFonts w:ascii="Calibri" w:eastAsiaTheme="minorEastAsia" w:hAnsi="Calibri" w:cs="Tahoma"/>
      <w:sz w:val="24"/>
      <w:szCs w:val="24"/>
    </w:rPr>
  </w:style>
  <w:style w:type="paragraph" w:styleId="Heading2">
    <w:name w:val="heading 2"/>
    <w:basedOn w:val="Normal"/>
    <w:next w:val="Normal"/>
    <w:link w:val="Heading2Char"/>
    <w:qFormat/>
    <w:rsid w:val="00E74C15"/>
    <w:pPr>
      <w:keepNext/>
      <w:spacing w:before="120" w:after="120"/>
      <w:ind w:left="142"/>
      <w:outlineLvl w:val="1"/>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4C15"/>
    <w:rPr>
      <w:rFonts w:ascii="Arial" w:eastAsia="Times New Roman" w:hAnsi="Arial" w:cs="Arial"/>
      <w:b/>
      <w:bCs/>
      <w:sz w:val="24"/>
      <w:szCs w:val="24"/>
    </w:rPr>
  </w:style>
  <w:style w:type="paragraph" w:styleId="ListParagraph">
    <w:name w:val="List Paragraph"/>
    <w:basedOn w:val="Normal"/>
    <w:link w:val="ListParagraphChar"/>
    <w:uiPriority w:val="34"/>
    <w:qFormat/>
    <w:rsid w:val="00E74C15"/>
    <w:pPr>
      <w:ind w:left="720"/>
      <w:contextualSpacing/>
    </w:pPr>
  </w:style>
  <w:style w:type="character" w:customStyle="1" w:styleId="ListParagraphChar">
    <w:name w:val="List Paragraph Char"/>
    <w:link w:val="ListParagraph"/>
    <w:uiPriority w:val="34"/>
    <w:rsid w:val="00E74C15"/>
    <w:rPr>
      <w:rFonts w:ascii="Calibri" w:eastAsiaTheme="minorEastAsia" w:hAnsi="Calibri" w:cs="Tahoma"/>
      <w:sz w:val="24"/>
      <w:szCs w:val="24"/>
    </w:rPr>
  </w:style>
  <w:style w:type="paragraph" w:styleId="BalloonText">
    <w:name w:val="Balloon Text"/>
    <w:basedOn w:val="Normal"/>
    <w:link w:val="BalloonTextChar"/>
    <w:uiPriority w:val="99"/>
    <w:semiHidden/>
    <w:unhideWhenUsed/>
    <w:rsid w:val="00E74C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C15"/>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2D5A82-2833-9441-9C67-5061E6FCAE69}" type="doc">
      <dgm:prSet loTypeId="urn:microsoft.com/office/officeart/2005/8/layout/hierarchy4" loCatId="" qsTypeId="urn:microsoft.com/office/officeart/2005/8/quickstyle/simple3" qsCatId="simple" csTypeId="urn:microsoft.com/office/officeart/2005/8/colors/accent1_2" csCatId="accent1" phldr="1"/>
      <dgm:spPr/>
      <dgm:t>
        <a:bodyPr/>
        <a:lstStyle/>
        <a:p>
          <a:endParaRPr lang="en-US"/>
        </a:p>
      </dgm:t>
    </dgm:pt>
    <dgm:pt modelId="{89C21AD5-4972-464C-9455-2B56976B43CC}">
      <dgm:prSet phldrT="[Text]" custT="1"/>
      <dgm:spPr/>
      <dgm:t>
        <a:bodyPr/>
        <a:lstStyle/>
        <a:p>
          <a:r>
            <a:rPr lang="en-GB" sz="1100" b="0" baseline="0">
              <a:latin typeface="+mj-lt"/>
            </a:rPr>
            <a:t>Consolidating and improving our core business, through service improvement and investment</a:t>
          </a:r>
          <a:endParaRPr lang="en-US" sz="1100" b="0" baseline="0"/>
        </a:p>
      </dgm:t>
    </dgm:pt>
    <dgm:pt modelId="{7FDFD8CA-0620-6744-8A25-DCAB196E5567}" type="parTrans" cxnId="{4BC982A7-7056-C040-9444-4B4D102E909F}">
      <dgm:prSet/>
      <dgm:spPr/>
      <dgm:t>
        <a:bodyPr/>
        <a:lstStyle/>
        <a:p>
          <a:endParaRPr lang="en-US"/>
        </a:p>
      </dgm:t>
    </dgm:pt>
    <dgm:pt modelId="{C0DC3780-DFA0-7749-A49D-002DCC09A95E}" type="sibTrans" cxnId="{4BC982A7-7056-C040-9444-4B4D102E909F}">
      <dgm:prSet/>
      <dgm:spPr/>
      <dgm:t>
        <a:bodyPr/>
        <a:lstStyle/>
        <a:p>
          <a:endParaRPr lang="en-US"/>
        </a:p>
      </dgm:t>
    </dgm:pt>
    <dgm:pt modelId="{193E2997-C549-E34D-AA3C-1D2B8F51C0ED}">
      <dgm:prSet custT="1"/>
      <dgm:spPr>
        <a:solidFill>
          <a:schemeClr val="accent5">
            <a:lumMod val="40000"/>
            <a:lumOff val="60000"/>
          </a:schemeClr>
        </a:solidFill>
      </dgm:spPr>
      <dgm:t>
        <a:bodyPr/>
        <a:lstStyle/>
        <a:p>
          <a:r>
            <a:rPr lang="en-GB" sz="1100" b="0" baseline="0">
              <a:latin typeface="+mj-lt"/>
            </a:rPr>
            <a:t>Achieving growth, by acquiring and repairing poor quality housing and through new housebuilding</a:t>
          </a:r>
        </a:p>
      </dgm:t>
    </dgm:pt>
    <dgm:pt modelId="{EB050E25-9F77-E14E-9820-62A05319184F}" type="parTrans" cxnId="{3F7A30A2-F1E5-A342-BC12-B017C5133D78}">
      <dgm:prSet/>
      <dgm:spPr/>
      <dgm:t>
        <a:bodyPr/>
        <a:lstStyle/>
        <a:p>
          <a:endParaRPr lang="en-US"/>
        </a:p>
      </dgm:t>
    </dgm:pt>
    <dgm:pt modelId="{801D0097-5524-D84A-873F-88DC1972673E}" type="sibTrans" cxnId="{3F7A30A2-F1E5-A342-BC12-B017C5133D78}">
      <dgm:prSet/>
      <dgm:spPr/>
      <dgm:t>
        <a:bodyPr/>
        <a:lstStyle/>
        <a:p>
          <a:endParaRPr lang="en-US"/>
        </a:p>
      </dgm:t>
    </dgm:pt>
    <dgm:pt modelId="{71EFBF47-18F3-E745-ACFC-71DA3D5C1E29}">
      <dgm:prSet custT="1"/>
      <dgm:spPr/>
      <dgm:t>
        <a:bodyPr/>
        <a:lstStyle/>
        <a:p>
          <a:r>
            <a:rPr lang="en-GB" sz="1100" b="0" baseline="0">
              <a:latin typeface="+mj-lt"/>
            </a:rPr>
            <a:t>Managing our assets and resources well, for the benefit of our customers and communities</a:t>
          </a:r>
        </a:p>
      </dgm:t>
    </dgm:pt>
    <dgm:pt modelId="{ACA4F1C2-2204-9140-91F8-6BB48E2BF935}" type="parTrans" cxnId="{DDFCF9E3-42D1-B04E-9057-446D8EBD17C6}">
      <dgm:prSet/>
      <dgm:spPr/>
      <dgm:t>
        <a:bodyPr/>
        <a:lstStyle/>
        <a:p>
          <a:endParaRPr lang="en-US"/>
        </a:p>
      </dgm:t>
    </dgm:pt>
    <dgm:pt modelId="{275D9911-ADDE-E546-AC19-DD643B88AED2}" type="sibTrans" cxnId="{DDFCF9E3-42D1-B04E-9057-446D8EBD17C6}">
      <dgm:prSet/>
      <dgm:spPr/>
      <dgm:t>
        <a:bodyPr/>
        <a:lstStyle/>
        <a:p>
          <a:endParaRPr lang="en-US"/>
        </a:p>
      </dgm:t>
    </dgm:pt>
    <dgm:pt modelId="{86C98637-B1C3-654C-AC7E-BED8B39E4F9F}">
      <dgm:prSet custT="1"/>
      <dgm:spPr>
        <a:solidFill>
          <a:schemeClr val="accent5">
            <a:lumMod val="40000"/>
            <a:lumOff val="60000"/>
          </a:schemeClr>
        </a:solidFill>
      </dgm:spPr>
      <dgm:t>
        <a:bodyPr/>
        <a:lstStyle/>
        <a:p>
          <a:r>
            <a:rPr lang="en-GB" sz="1100" b="0" baseline="0">
              <a:latin typeface="+mj-lt"/>
            </a:rPr>
            <a:t>Working with the community and others to improve opportunities and the quality of life for local people</a:t>
          </a:r>
        </a:p>
      </dgm:t>
    </dgm:pt>
    <dgm:pt modelId="{3075BA78-F996-E747-BFA6-DAA8EC3BDD0D}" type="parTrans" cxnId="{37039735-2371-4948-8CDC-0FFF43CA410E}">
      <dgm:prSet/>
      <dgm:spPr/>
      <dgm:t>
        <a:bodyPr/>
        <a:lstStyle/>
        <a:p>
          <a:endParaRPr lang="en-US"/>
        </a:p>
      </dgm:t>
    </dgm:pt>
    <dgm:pt modelId="{A26A36B8-A5E9-F842-A490-83410524E8C0}" type="sibTrans" cxnId="{37039735-2371-4948-8CDC-0FFF43CA410E}">
      <dgm:prSet/>
      <dgm:spPr/>
      <dgm:t>
        <a:bodyPr/>
        <a:lstStyle/>
        <a:p>
          <a:endParaRPr lang="en-US"/>
        </a:p>
      </dgm:t>
    </dgm:pt>
    <dgm:pt modelId="{B7C1735B-5A06-134B-8856-C74050703E36}" type="pres">
      <dgm:prSet presAssocID="{942D5A82-2833-9441-9C67-5061E6FCAE69}" presName="Name0" presStyleCnt="0">
        <dgm:presLayoutVars>
          <dgm:chPref val="1"/>
          <dgm:dir/>
          <dgm:animOne val="branch"/>
          <dgm:animLvl val="lvl"/>
          <dgm:resizeHandles/>
        </dgm:presLayoutVars>
      </dgm:prSet>
      <dgm:spPr/>
    </dgm:pt>
    <dgm:pt modelId="{F79E252A-C941-4E4D-8501-7DAE85EC872C}" type="pres">
      <dgm:prSet presAssocID="{89C21AD5-4972-464C-9455-2B56976B43CC}" presName="vertOne" presStyleCnt="0"/>
      <dgm:spPr/>
    </dgm:pt>
    <dgm:pt modelId="{54933961-5EBE-F24C-A9F9-21B5AA3FA679}" type="pres">
      <dgm:prSet presAssocID="{89C21AD5-4972-464C-9455-2B56976B43CC}" presName="txOne" presStyleLbl="node0" presStyleIdx="0" presStyleCnt="4">
        <dgm:presLayoutVars>
          <dgm:chPref val="3"/>
        </dgm:presLayoutVars>
      </dgm:prSet>
      <dgm:spPr/>
    </dgm:pt>
    <dgm:pt modelId="{49E6D56B-45E1-8847-B71D-6DE9E60A40E9}" type="pres">
      <dgm:prSet presAssocID="{89C21AD5-4972-464C-9455-2B56976B43CC}" presName="horzOne" presStyleCnt="0"/>
      <dgm:spPr/>
    </dgm:pt>
    <dgm:pt modelId="{C2504BCB-0B4D-9444-B0C1-EC59AFD0CDB0}" type="pres">
      <dgm:prSet presAssocID="{C0DC3780-DFA0-7749-A49D-002DCC09A95E}" presName="sibSpaceOne" presStyleCnt="0"/>
      <dgm:spPr/>
    </dgm:pt>
    <dgm:pt modelId="{11D80723-5557-1048-9085-27AF7D58F3C4}" type="pres">
      <dgm:prSet presAssocID="{193E2997-C549-E34D-AA3C-1D2B8F51C0ED}" presName="vertOne" presStyleCnt="0"/>
      <dgm:spPr/>
    </dgm:pt>
    <dgm:pt modelId="{33736990-6EFD-F248-A225-8990611A0234}" type="pres">
      <dgm:prSet presAssocID="{193E2997-C549-E34D-AA3C-1D2B8F51C0ED}" presName="txOne" presStyleLbl="node0" presStyleIdx="1" presStyleCnt="4">
        <dgm:presLayoutVars>
          <dgm:chPref val="3"/>
        </dgm:presLayoutVars>
      </dgm:prSet>
      <dgm:spPr/>
    </dgm:pt>
    <dgm:pt modelId="{4D9FB45A-42F9-E549-A9EA-0BD3A6710000}" type="pres">
      <dgm:prSet presAssocID="{193E2997-C549-E34D-AA3C-1D2B8F51C0ED}" presName="horzOne" presStyleCnt="0"/>
      <dgm:spPr/>
    </dgm:pt>
    <dgm:pt modelId="{69B91ED0-0574-1B41-A302-6C5AC8BFB780}" type="pres">
      <dgm:prSet presAssocID="{801D0097-5524-D84A-873F-88DC1972673E}" presName="sibSpaceOne" presStyleCnt="0"/>
      <dgm:spPr/>
    </dgm:pt>
    <dgm:pt modelId="{7DFD3C68-FAC1-A74E-862F-EF7AD9AFAED1}" type="pres">
      <dgm:prSet presAssocID="{71EFBF47-18F3-E745-ACFC-71DA3D5C1E29}" presName="vertOne" presStyleCnt="0"/>
      <dgm:spPr/>
    </dgm:pt>
    <dgm:pt modelId="{5A7F02C8-3116-2B4C-8087-D588D62584EE}" type="pres">
      <dgm:prSet presAssocID="{71EFBF47-18F3-E745-ACFC-71DA3D5C1E29}" presName="txOne" presStyleLbl="node0" presStyleIdx="2" presStyleCnt="4">
        <dgm:presLayoutVars>
          <dgm:chPref val="3"/>
        </dgm:presLayoutVars>
      </dgm:prSet>
      <dgm:spPr/>
    </dgm:pt>
    <dgm:pt modelId="{A6DE82CF-B391-914F-94D5-551256CE6CD1}" type="pres">
      <dgm:prSet presAssocID="{71EFBF47-18F3-E745-ACFC-71DA3D5C1E29}" presName="horzOne" presStyleCnt="0"/>
      <dgm:spPr/>
    </dgm:pt>
    <dgm:pt modelId="{0E7E8B32-3E79-C44F-B781-D6E161450010}" type="pres">
      <dgm:prSet presAssocID="{275D9911-ADDE-E546-AC19-DD643B88AED2}" presName="sibSpaceOne" presStyleCnt="0"/>
      <dgm:spPr/>
    </dgm:pt>
    <dgm:pt modelId="{1E802E5A-A53D-6241-BFB0-95884C3150BA}" type="pres">
      <dgm:prSet presAssocID="{86C98637-B1C3-654C-AC7E-BED8B39E4F9F}" presName="vertOne" presStyleCnt="0"/>
      <dgm:spPr/>
    </dgm:pt>
    <dgm:pt modelId="{BF7EC0C1-D594-EA41-BE66-5E00E831FD99}" type="pres">
      <dgm:prSet presAssocID="{86C98637-B1C3-654C-AC7E-BED8B39E4F9F}" presName="txOne" presStyleLbl="node0" presStyleIdx="3" presStyleCnt="4">
        <dgm:presLayoutVars>
          <dgm:chPref val="3"/>
        </dgm:presLayoutVars>
      </dgm:prSet>
      <dgm:spPr/>
    </dgm:pt>
    <dgm:pt modelId="{76097553-087E-F24E-A6D7-B172FED19D87}" type="pres">
      <dgm:prSet presAssocID="{86C98637-B1C3-654C-AC7E-BED8B39E4F9F}" presName="horzOne" presStyleCnt="0"/>
      <dgm:spPr/>
    </dgm:pt>
  </dgm:ptLst>
  <dgm:cxnLst>
    <dgm:cxn modelId="{48DB7E1D-535A-4D7E-9F9C-BEF55619C278}" type="presOf" srcId="{89C21AD5-4972-464C-9455-2B56976B43CC}" destId="{54933961-5EBE-F24C-A9F9-21B5AA3FA679}" srcOrd="0" destOrd="0" presId="urn:microsoft.com/office/officeart/2005/8/layout/hierarchy4"/>
    <dgm:cxn modelId="{37039735-2371-4948-8CDC-0FFF43CA410E}" srcId="{942D5A82-2833-9441-9C67-5061E6FCAE69}" destId="{86C98637-B1C3-654C-AC7E-BED8B39E4F9F}" srcOrd="3" destOrd="0" parTransId="{3075BA78-F996-E747-BFA6-DAA8EC3BDD0D}" sibTransId="{A26A36B8-A5E9-F842-A490-83410524E8C0}"/>
    <dgm:cxn modelId="{C61D396F-260D-47CD-9BD1-7600F488970D}" type="presOf" srcId="{193E2997-C549-E34D-AA3C-1D2B8F51C0ED}" destId="{33736990-6EFD-F248-A225-8990611A0234}" srcOrd="0" destOrd="0" presId="urn:microsoft.com/office/officeart/2005/8/layout/hierarchy4"/>
    <dgm:cxn modelId="{026ABE97-5C37-4B6F-903E-ECAE141000B1}" type="presOf" srcId="{86C98637-B1C3-654C-AC7E-BED8B39E4F9F}" destId="{BF7EC0C1-D594-EA41-BE66-5E00E831FD99}" srcOrd="0" destOrd="0" presId="urn:microsoft.com/office/officeart/2005/8/layout/hierarchy4"/>
    <dgm:cxn modelId="{3F7A30A2-F1E5-A342-BC12-B017C5133D78}" srcId="{942D5A82-2833-9441-9C67-5061E6FCAE69}" destId="{193E2997-C549-E34D-AA3C-1D2B8F51C0ED}" srcOrd="1" destOrd="0" parTransId="{EB050E25-9F77-E14E-9820-62A05319184F}" sibTransId="{801D0097-5524-D84A-873F-88DC1972673E}"/>
    <dgm:cxn modelId="{4BC982A7-7056-C040-9444-4B4D102E909F}" srcId="{942D5A82-2833-9441-9C67-5061E6FCAE69}" destId="{89C21AD5-4972-464C-9455-2B56976B43CC}" srcOrd="0" destOrd="0" parTransId="{7FDFD8CA-0620-6744-8A25-DCAB196E5567}" sibTransId="{C0DC3780-DFA0-7749-A49D-002DCC09A95E}"/>
    <dgm:cxn modelId="{DDFCF9E3-42D1-B04E-9057-446D8EBD17C6}" srcId="{942D5A82-2833-9441-9C67-5061E6FCAE69}" destId="{71EFBF47-18F3-E745-ACFC-71DA3D5C1E29}" srcOrd="2" destOrd="0" parTransId="{ACA4F1C2-2204-9140-91F8-6BB48E2BF935}" sibTransId="{275D9911-ADDE-E546-AC19-DD643B88AED2}"/>
    <dgm:cxn modelId="{8A423EE7-6045-47EA-AC2C-22972BDE2F0C}" type="presOf" srcId="{942D5A82-2833-9441-9C67-5061E6FCAE69}" destId="{B7C1735B-5A06-134B-8856-C74050703E36}" srcOrd="0" destOrd="0" presId="urn:microsoft.com/office/officeart/2005/8/layout/hierarchy4"/>
    <dgm:cxn modelId="{83D6F9FE-CECB-470C-ADB5-6487A38B9D36}" type="presOf" srcId="{71EFBF47-18F3-E745-ACFC-71DA3D5C1E29}" destId="{5A7F02C8-3116-2B4C-8087-D588D62584EE}" srcOrd="0" destOrd="0" presId="urn:microsoft.com/office/officeart/2005/8/layout/hierarchy4"/>
    <dgm:cxn modelId="{3CFEBA9E-66CF-4959-9264-13AC0A176C64}" type="presParOf" srcId="{B7C1735B-5A06-134B-8856-C74050703E36}" destId="{F79E252A-C941-4E4D-8501-7DAE85EC872C}" srcOrd="0" destOrd="0" presId="urn:microsoft.com/office/officeart/2005/8/layout/hierarchy4"/>
    <dgm:cxn modelId="{9FC6E4C5-3B5C-436E-89A2-CBEAE22733A3}" type="presParOf" srcId="{F79E252A-C941-4E4D-8501-7DAE85EC872C}" destId="{54933961-5EBE-F24C-A9F9-21B5AA3FA679}" srcOrd="0" destOrd="0" presId="urn:microsoft.com/office/officeart/2005/8/layout/hierarchy4"/>
    <dgm:cxn modelId="{94FCF1C9-6B35-429B-A683-05E5ED9CDD3D}" type="presParOf" srcId="{F79E252A-C941-4E4D-8501-7DAE85EC872C}" destId="{49E6D56B-45E1-8847-B71D-6DE9E60A40E9}" srcOrd="1" destOrd="0" presId="urn:microsoft.com/office/officeart/2005/8/layout/hierarchy4"/>
    <dgm:cxn modelId="{745D55EA-42BD-43F0-B73F-4870FD270DED}" type="presParOf" srcId="{B7C1735B-5A06-134B-8856-C74050703E36}" destId="{C2504BCB-0B4D-9444-B0C1-EC59AFD0CDB0}" srcOrd="1" destOrd="0" presId="urn:microsoft.com/office/officeart/2005/8/layout/hierarchy4"/>
    <dgm:cxn modelId="{A4E21EB1-E891-4DFD-A39F-51CAA1E924E4}" type="presParOf" srcId="{B7C1735B-5A06-134B-8856-C74050703E36}" destId="{11D80723-5557-1048-9085-27AF7D58F3C4}" srcOrd="2" destOrd="0" presId="urn:microsoft.com/office/officeart/2005/8/layout/hierarchy4"/>
    <dgm:cxn modelId="{D36A62D5-D642-4BB2-923C-6E1CCA3F144D}" type="presParOf" srcId="{11D80723-5557-1048-9085-27AF7D58F3C4}" destId="{33736990-6EFD-F248-A225-8990611A0234}" srcOrd="0" destOrd="0" presId="urn:microsoft.com/office/officeart/2005/8/layout/hierarchy4"/>
    <dgm:cxn modelId="{409CDD8A-ECF6-4B8E-AA27-2CF2273B149C}" type="presParOf" srcId="{11D80723-5557-1048-9085-27AF7D58F3C4}" destId="{4D9FB45A-42F9-E549-A9EA-0BD3A6710000}" srcOrd="1" destOrd="0" presId="urn:microsoft.com/office/officeart/2005/8/layout/hierarchy4"/>
    <dgm:cxn modelId="{06407948-893D-4FB6-8B8D-C9F344C8FBB8}" type="presParOf" srcId="{B7C1735B-5A06-134B-8856-C74050703E36}" destId="{69B91ED0-0574-1B41-A302-6C5AC8BFB780}" srcOrd="3" destOrd="0" presId="urn:microsoft.com/office/officeart/2005/8/layout/hierarchy4"/>
    <dgm:cxn modelId="{E690AC2A-50F7-413A-8073-D16D90A70F37}" type="presParOf" srcId="{B7C1735B-5A06-134B-8856-C74050703E36}" destId="{7DFD3C68-FAC1-A74E-862F-EF7AD9AFAED1}" srcOrd="4" destOrd="0" presId="urn:microsoft.com/office/officeart/2005/8/layout/hierarchy4"/>
    <dgm:cxn modelId="{40A83F44-E4A3-4C04-8094-27509EEB285B}" type="presParOf" srcId="{7DFD3C68-FAC1-A74E-862F-EF7AD9AFAED1}" destId="{5A7F02C8-3116-2B4C-8087-D588D62584EE}" srcOrd="0" destOrd="0" presId="urn:microsoft.com/office/officeart/2005/8/layout/hierarchy4"/>
    <dgm:cxn modelId="{3A96DA9B-AF02-4947-BBAB-8E31DA137028}" type="presParOf" srcId="{7DFD3C68-FAC1-A74E-862F-EF7AD9AFAED1}" destId="{A6DE82CF-B391-914F-94D5-551256CE6CD1}" srcOrd="1" destOrd="0" presId="urn:microsoft.com/office/officeart/2005/8/layout/hierarchy4"/>
    <dgm:cxn modelId="{8B90155C-0F1B-4D56-98C8-8CAA8AD4B57C}" type="presParOf" srcId="{B7C1735B-5A06-134B-8856-C74050703E36}" destId="{0E7E8B32-3E79-C44F-B781-D6E161450010}" srcOrd="5" destOrd="0" presId="urn:microsoft.com/office/officeart/2005/8/layout/hierarchy4"/>
    <dgm:cxn modelId="{84C455DD-3A99-4D7D-966B-5B6CD0119C97}" type="presParOf" srcId="{B7C1735B-5A06-134B-8856-C74050703E36}" destId="{1E802E5A-A53D-6241-BFB0-95884C3150BA}" srcOrd="6" destOrd="0" presId="urn:microsoft.com/office/officeart/2005/8/layout/hierarchy4"/>
    <dgm:cxn modelId="{55612F38-3292-4163-BF65-150F06AD02C2}" type="presParOf" srcId="{1E802E5A-A53D-6241-BFB0-95884C3150BA}" destId="{BF7EC0C1-D594-EA41-BE66-5E00E831FD99}" srcOrd="0" destOrd="0" presId="urn:microsoft.com/office/officeart/2005/8/layout/hierarchy4"/>
    <dgm:cxn modelId="{A9F9DABF-B930-4C35-B420-2C91F7013E7B}" type="presParOf" srcId="{1E802E5A-A53D-6241-BFB0-95884C3150BA}" destId="{76097553-087E-F24E-A6D7-B172FED19D87}" srcOrd="1" destOrd="0" presId="urn:microsoft.com/office/officeart/2005/8/layout/hierarchy4"/>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933961-5EBE-F24C-A9F9-21B5AA3FA679}">
      <dsp:nvSpPr>
        <dsp:cNvPr id="0" name=""/>
        <dsp:cNvSpPr/>
      </dsp:nvSpPr>
      <dsp:spPr>
        <a:xfrm>
          <a:off x="1302" y="0"/>
          <a:ext cx="1270267" cy="143954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0" kern="1200" baseline="0">
              <a:latin typeface="+mj-lt"/>
            </a:rPr>
            <a:t>Consolidating and improving our core business, through service improvement and investment</a:t>
          </a:r>
          <a:endParaRPr lang="en-US" sz="1100" b="0" kern="1200" baseline="0"/>
        </a:p>
      </dsp:txBody>
      <dsp:txXfrm>
        <a:off x="38507" y="37205"/>
        <a:ext cx="1195857" cy="1365135"/>
      </dsp:txXfrm>
    </dsp:sp>
    <dsp:sp modelId="{33736990-6EFD-F248-A225-8990611A0234}">
      <dsp:nvSpPr>
        <dsp:cNvPr id="0" name=""/>
        <dsp:cNvSpPr/>
      </dsp:nvSpPr>
      <dsp:spPr>
        <a:xfrm>
          <a:off x="1484974" y="0"/>
          <a:ext cx="1270267" cy="1439545"/>
        </a:xfrm>
        <a:prstGeom prst="roundRect">
          <a:avLst>
            <a:gd name="adj" fmla="val 10000"/>
          </a:avLst>
        </a:prstGeom>
        <a:solidFill>
          <a:schemeClr val="accent5">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0" kern="1200" baseline="0">
              <a:latin typeface="+mj-lt"/>
            </a:rPr>
            <a:t>Achieving growth, by acquiring and repairing poor quality housing and through new housebuilding</a:t>
          </a:r>
        </a:p>
      </dsp:txBody>
      <dsp:txXfrm>
        <a:off x="1522179" y="37205"/>
        <a:ext cx="1195857" cy="1365135"/>
      </dsp:txXfrm>
    </dsp:sp>
    <dsp:sp modelId="{5A7F02C8-3116-2B4C-8087-D588D62584EE}">
      <dsp:nvSpPr>
        <dsp:cNvPr id="0" name=""/>
        <dsp:cNvSpPr/>
      </dsp:nvSpPr>
      <dsp:spPr>
        <a:xfrm>
          <a:off x="2968647" y="0"/>
          <a:ext cx="1270267" cy="143954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0" kern="1200" baseline="0">
              <a:latin typeface="+mj-lt"/>
            </a:rPr>
            <a:t>Managing our assets and resources well, for the benefit of our customers and communities</a:t>
          </a:r>
        </a:p>
      </dsp:txBody>
      <dsp:txXfrm>
        <a:off x="3005852" y="37205"/>
        <a:ext cx="1195857" cy="1365135"/>
      </dsp:txXfrm>
    </dsp:sp>
    <dsp:sp modelId="{BF7EC0C1-D594-EA41-BE66-5E00E831FD99}">
      <dsp:nvSpPr>
        <dsp:cNvPr id="0" name=""/>
        <dsp:cNvSpPr/>
      </dsp:nvSpPr>
      <dsp:spPr>
        <a:xfrm>
          <a:off x="4452320" y="0"/>
          <a:ext cx="1270267" cy="1439545"/>
        </a:xfrm>
        <a:prstGeom prst="roundRect">
          <a:avLst>
            <a:gd name="adj" fmla="val 10000"/>
          </a:avLst>
        </a:prstGeom>
        <a:solidFill>
          <a:schemeClr val="accent5">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0" kern="1200" baseline="0">
              <a:latin typeface="+mj-lt"/>
            </a:rPr>
            <a:t>Working with the community and others to improve opportunities and the quality of life for local people</a:t>
          </a:r>
        </a:p>
      </dsp:txBody>
      <dsp:txXfrm>
        <a:off x="4489525" y="37205"/>
        <a:ext cx="1195857" cy="136513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1654</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Kevan</dc:creator>
  <cp:keywords/>
  <dc:description/>
  <cp:lastModifiedBy>Alison Kevan</cp:lastModifiedBy>
  <cp:revision>1</cp:revision>
  <dcterms:created xsi:type="dcterms:W3CDTF">2019-10-14T08:42:00Z</dcterms:created>
  <dcterms:modified xsi:type="dcterms:W3CDTF">2019-10-14T08:44:00Z</dcterms:modified>
</cp:coreProperties>
</file>